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DD5C6" w14:textId="77777777" w:rsidR="00164830" w:rsidRDefault="00164830" w:rsidP="00164830">
      <w:pPr>
        <w:pStyle w:val="NormalWeb"/>
      </w:pPr>
      <w:r>
        <w:rPr>
          <w:rFonts w:ascii="MinionPro" w:hAnsi="MinionPro"/>
          <w:b/>
          <w:bCs/>
          <w:sz w:val="32"/>
          <w:szCs w:val="32"/>
        </w:rPr>
        <w:t xml:space="preserve">Older Women and Intimate Partner Violence </w:t>
      </w:r>
    </w:p>
    <w:p w14:paraId="558EF2FB" w14:textId="77777777" w:rsidR="00164830" w:rsidRDefault="00164830" w:rsidP="00164830">
      <w:pPr>
        <w:pStyle w:val="NormalWeb"/>
      </w:pPr>
      <w:r>
        <w:rPr>
          <w:rFonts w:ascii="MinionPro" w:hAnsi="MinionPro"/>
          <w:sz w:val="22"/>
          <w:szCs w:val="22"/>
        </w:rPr>
        <w:t xml:space="preserve">Patricia Brownell </w:t>
      </w:r>
    </w:p>
    <w:p w14:paraId="680C7028" w14:textId="77777777" w:rsidR="00164830" w:rsidRDefault="00164830" w:rsidP="00164830">
      <w:pPr>
        <w:pStyle w:val="NormalWeb"/>
      </w:pPr>
      <w:r>
        <w:rPr>
          <w:rFonts w:ascii="MinionPro" w:hAnsi="MinionPro"/>
          <w:i/>
          <w:iCs/>
          <w:sz w:val="16"/>
          <w:szCs w:val="16"/>
        </w:rPr>
        <w:t xml:space="preserve">Fordham University, USA </w:t>
      </w:r>
    </w:p>
    <w:p w14:paraId="40379ABA" w14:textId="77777777" w:rsidR="00164830" w:rsidRDefault="00164830" w:rsidP="00164830">
      <w:pPr>
        <w:pStyle w:val="NormalWeb"/>
      </w:pPr>
      <w:proofErr w:type="gramStart"/>
      <w:r>
        <w:rPr>
          <w:rFonts w:ascii="MinionPro" w:hAnsi="MinionPro"/>
        </w:rPr>
        <w:t>Intima</w:t>
      </w:r>
      <w:r w:rsidR="000B4081">
        <w:rPr>
          <w:rFonts w:ascii="MinionPro" w:hAnsi="MinionPro"/>
        </w:rPr>
        <w:t>te partner violence (IPV) is defin</w:t>
      </w:r>
      <w:r>
        <w:rPr>
          <w:rFonts w:ascii="MinionPro" w:hAnsi="MinionPro"/>
        </w:rPr>
        <w:t>ed as violence that incorporates physical, sexual, or emotional harm by any partner against women</w:t>
      </w:r>
      <w:proofErr w:type="gramEnd"/>
      <w:r>
        <w:rPr>
          <w:rFonts w:ascii="MinionPro" w:hAnsi="MinionPro"/>
        </w:rPr>
        <w:t xml:space="preserve"> (</w:t>
      </w:r>
      <w:proofErr w:type="spellStart"/>
      <w:r>
        <w:rPr>
          <w:rFonts w:ascii="MinionPro" w:hAnsi="MinionPro"/>
        </w:rPr>
        <w:t>Salzman</w:t>
      </w:r>
      <w:proofErr w:type="spellEnd"/>
      <w:r>
        <w:rPr>
          <w:rFonts w:ascii="MinionPro" w:hAnsi="MinionPro"/>
        </w:rPr>
        <w:t xml:space="preserve">, </w:t>
      </w:r>
      <w:proofErr w:type="spellStart"/>
      <w:r>
        <w:rPr>
          <w:rFonts w:ascii="MinionPro" w:hAnsi="MinionPro"/>
        </w:rPr>
        <w:t>Fanslow</w:t>
      </w:r>
      <w:proofErr w:type="spellEnd"/>
      <w:r>
        <w:rPr>
          <w:rFonts w:ascii="MinionPro" w:hAnsi="MinionPro"/>
        </w:rPr>
        <w:t xml:space="preserve">, McMahon, &amp; Shelley, 2002). </w:t>
      </w:r>
      <w:proofErr w:type="gramStart"/>
      <w:r>
        <w:rPr>
          <w:rFonts w:ascii="MinionPro" w:hAnsi="MinionPro"/>
        </w:rPr>
        <w:t>is</w:t>
      </w:r>
      <w:proofErr w:type="gramEnd"/>
      <w:r>
        <w:rPr>
          <w:rFonts w:ascii="MinionPro" w:hAnsi="MinionPro"/>
        </w:rPr>
        <w:t xml:space="preserve"> de</w:t>
      </w:r>
      <w:r w:rsidR="000B4081">
        <w:rPr>
          <w:rFonts w:ascii="MinionPro" w:hAnsi="MinionPro"/>
        </w:rPr>
        <w:t>fi</w:t>
      </w:r>
      <w:r>
        <w:rPr>
          <w:rFonts w:ascii="MinionPro" w:hAnsi="MinionPro"/>
        </w:rPr>
        <w:t>nition was developed by an expert panel convened by the Centers for Disease Control and Prevention (CDC) in 1996 to formulate a uniform de</w:t>
      </w:r>
      <w:r w:rsidR="000B4081">
        <w:rPr>
          <w:rFonts w:ascii="MinionPro" w:hAnsi="MinionPro"/>
        </w:rPr>
        <w:t>fi</w:t>
      </w:r>
      <w:r>
        <w:rPr>
          <w:rFonts w:ascii="MinionPro" w:hAnsi="MinionPro"/>
        </w:rPr>
        <w:t xml:space="preserve">nition and recommend data elements for gathering public health data on IPV, and is widely used in IPV research today. </w:t>
      </w:r>
    </w:p>
    <w:p w14:paraId="3037B680" w14:textId="77777777" w:rsidR="00164830" w:rsidRDefault="00164830" w:rsidP="00164830">
      <w:pPr>
        <w:pStyle w:val="NormalWeb"/>
      </w:pPr>
      <w:r>
        <w:rPr>
          <w:rFonts w:ascii="MinionPro" w:hAnsi="MinionPro"/>
          <w:b/>
          <w:bCs/>
          <w:sz w:val="22"/>
          <w:szCs w:val="22"/>
        </w:rPr>
        <w:t xml:space="preserve">Prevalence Research </w:t>
      </w:r>
    </w:p>
    <w:p w14:paraId="7C22DF21" w14:textId="73916BF9" w:rsidR="00164830" w:rsidRDefault="00164830" w:rsidP="00164830">
      <w:pPr>
        <w:pStyle w:val="NormalWeb"/>
      </w:pPr>
      <w:r>
        <w:rPr>
          <w:rFonts w:ascii="MinionPro" w:hAnsi="MinionPro"/>
        </w:rPr>
        <w:t>Women of all ages are victims of IPV, including women of 60 years of age and older. However, there is little consensus about the prevalence rates for IPV among older women (</w:t>
      </w:r>
      <w:proofErr w:type="spellStart"/>
      <w:r>
        <w:rPr>
          <w:rFonts w:ascii="MinionPro" w:hAnsi="MinionPro"/>
        </w:rPr>
        <w:t>Penhale</w:t>
      </w:r>
      <w:proofErr w:type="spellEnd"/>
      <w:r>
        <w:rPr>
          <w:rFonts w:ascii="MinionPro" w:hAnsi="MinionPro"/>
        </w:rPr>
        <w:t xml:space="preserve"> &amp; </w:t>
      </w:r>
      <w:proofErr w:type="spellStart"/>
      <w:r>
        <w:rPr>
          <w:rFonts w:ascii="MinionPro" w:hAnsi="MinionPro"/>
        </w:rPr>
        <w:t>Porritt</w:t>
      </w:r>
      <w:proofErr w:type="spellEnd"/>
      <w:r>
        <w:rPr>
          <w:rFonts w:ascii="MinionPro" w:hAnsi="MinionPro"/>
        </w:rPr>
        <w:t>, 2010). Con</w:t>
      </w:r>
      <w:r w:rsidR="000B4081">
        <w:rPr>
          <w:rFonts w:ascii="MinionPro" w:hAnsi="MinionPro"/>
        </w:rPr>
        <w:t>fl</w:t>
      </w:r>
      <w:r>
        <w:rPr>
          <w:rFonts w:ascii="MinionPro" w:hAnsi="MinionPro"/>
        </w:rPr>
        <w:t xml:space="preserve">icting </w:t>
      </w:r>
      <w:r w:rsidR="000B4081">
        <w:rPr>
          <w:rFonts w:ascii="MinionPro" w:hAnsi="MinionPro"/>
        </w:rPr>
        <w:t>fi</w:t>
      </w:r>
      <w:r>
        <w:rPr>
          <w:rFonts w:ascii="MinionPro" w:hAnsi="MinionPro"/>
        </w:rPr>
        <w:t>ndings about the prevalence of abuse of older women exemplify what feminist gerontologists have realized: Di</w:t>
      </w:r>
      <w:r w:rsidR="000B4081">
        <w:rPr>
          <w:rFonts w:ascii="MinionPro" w:hAnsi="MinionPro"/>
        </w:rPr>
        <w:t>ff</w:t>
      </w:r>
      <w:r>
        <w:rPr>
          <w:rFonts w:ascii="MinionPro" w:hAnsi="MinionPro"/>
        </w:rPr>
        <w:t>erent value and theoretical frames used by researchers shed light on di</w:t>
      </w:r>
      <w:r w:rsidR="000B4081">
        <w:rPr>
          <w:rFonts w:ascii="MinionPro" w:hAnsi="MinionPro"/>
        </w:rPr>
        <w:t>ff</w:t>
      </w:r>
      <w:r>
        <w:rPr>
          <w:rFonts w:ascii="MinionPro" w:hAnsi="MinionPro"/>
        </w:rPr>
        <w:t>erent pro les of older women and IPV (</w:t>
      </w:r>
      <w:proofErr w:type="spellStart"/>
      <w:r>
        <w:rPr>
          <w:rFonts w:ascii="MinionPro" w:hAnsi="MinionPro"/>
        </w:rPr>
        <w:t>Penhale</w:t>
      </w:r>
      <w:proofErr w:type="spellEnd"/>
      <w:r>
        <w:rPr>
          <w:rFonts w:ascii="MinionPro" w:hAnsi="MinionPro"/>
        </w:rPr>
        <w:t>, 2008). Boundaries are blurred between elder abuse and domestic violence (Scott, 2008), and there is an ideological gulf between researchers and professionals focused on domestic violence and those focused on aging (</w:t>
      </w:r>
      <w:proofErr w:type="spellStart"/>
      <w:r>
        <w:rPr>
          <w:rFonts w:ascii="MinionPro" w:hAnsi="MinionPro"/>
        </w:rPr>
        <w:t>McGarry</w:t>
      </w:r>
      <w:proofErr w:type="spellEnd"/>
      <w:r>
        <w:rPr>
          <w:rFonts w:ascii="MinionPro" w:hAnsi="MinionPro"/>
        </w:rPr>
        <w:t xml:space="preserve"> &amp; Simpson, 2011). In IPV research, violence against women is viewed as gendered abuse of power; in aging it is a subset of abuse against older people, ignoring the lived experiences of older women. In addition, the women’s domestic violence movement has not mobilized to address and end IPV against older women, and violence against older women has had only modest attention in the aging- and gender-based literature (</w:t>
      </w:r>
      <w:proofErr w:type="spellStart"/>
      <w:r>
        <w:rPr>
          <w:rFonts w:ascii="MinionPro" w:hAnsi="MinionPro"/>
        </w:rPr>
        <w:t>Jönson</w:t>
      </w:r>
      <w:proofErr w:type="spellEnd"/>
      <w:r>
        <w:rPr>
          <w:rFonts w:ascii="MinionPro" w:hAnsi="MinionPro"/>
        </w:rPr>
        <w:t xml:space="preserve"> &amp; </w:t>
      </w:r>
      <w:proofErr w:type="spellStart"/>
      <w:r>
        <w:rPr>
          <w:rFonts w:ascii="MinionPro" w:hAnsi="MinionPro"/>
        </w:rPr>
        <w:t>Åkerström</w:t>
      </w:r>
      <w:proofErr w:type="spellEnd"/>
      <w:r>
        <w:rPr>
          <w:rFonts w:ascii="MinionPro" w:hAnsi="MinionPro"/>
        </w:rPr>
        <w:t xml:space="preserve">, 2004). </w:t>
      </w:r>
    </w:p>
    <w:p w14:paraId="60D6FAA9" w14:textId="214CC047" w:rsidR="00164830" w:rsidRDefault="005B11E3" w:rsidP="00164830">
      <w:pPr>
        <w:pStyle w:val="NormalWeb"/>
      </w:pPr>
      <w:r>
        <w:rPr>
          <w:rFonts w:ascii="MinionPro" w:hAnsi="MinionPro"/>
        </w:rPr>
        <w:t>Th</w:t>
      </w:r>
      <w:r w:rsidR="00164830">
        <w:rPr>
          <w:rFonts w:ascii="MinionPro" w:hAnsi="MinionPro"/>
        </w:rPr>
        <w:t>e CDC de</w:t>
      </w:r>
      <w:r>
        <w:rPr>
          <w:rFonts w:ascii="MinionPro" w:hAnsi="MinionPro"/>
        </w:rPr>
        <w:t>fi</w:t>
      </w:r>
      <w:r w:rsidR="00164830">
        <w:rPr>
          <w:rFonts w:ascii="MinionPro" w:hAnsi="MinionPro"/>
        </w:rPr>
        <w:t>nition of IPV limits measures to physical, sexual, and emotional abuse. However, this</w:t>
      </w:r>
      <w:r>
        <w:rPr>
          <w:rFonts w:ascii="MinionPro" w:hAnsi="MinionPro"/>
        </w:rPr>
        <w:t xml:space="preserve"> definition minimizes the preva</w:t>
      </w:r>
      <w:r w:rsidR="00164830">
        <w:rPr>
          <w:rFonts w:ascii="MinionPro" w:hAnsi="MinionPro"/>
        </w:rPr>
        <w:t xml:space="preserve">lence of IPV in the lives of older women, for whom neglect and </w:t>
      </w:r>
      <w:r>
        <w:rPr>
          <w:rFonts w:ascii="MinionPro" w:hAnsi="MinionPro"/>
        </w:rPr>
        <w:t>fi</w:t>
      </w:r>
      <w:r w:rsidR="00164830">
        <w:rPr>
          <w:rFonts w:ascii="MinionPro" w:hAnsi="MinionPro"/>
        </w:rPr>
        <w:t>nancial abuse in particular may be more salient than for younger women (</w:t>
      </w:r>
      <w:proofErr w:type="spellStart"/>
      <w:r w:rsidR="00164830">
        <w:rPr>
          <w:rFonts w:ascii="MinionPro" w:hAnsi="MinionPro"/>
        </w:rPr>
        <w:t>Manjoo</w:t>
      </w:r>
      <w:proofErr w:type="spellEnd"/>
      <w:r w:rsidR="00164830">
        <w:rPr>
          <w:rFonts w:ascii="MinionPro" w:hAnsi="MinionPro"/>
        </w:rPr>
        <w:t>, 2012). In addition, in the few studies that disaggregate data collected by age and gender, old age is de</w:t>
      </w:r>
      <w:r>
        <w:rPr>
          <w:rFonts w:ascii="MinionPro" w:hAnsi="MinionPro"/>
        </w:rPr>
        <w:t>fi</w:t>
      </w:r>
      <w:r w:rsidR="00164830">
        <w:rPr>
          <w:rFonts w:ascii="MinionPro" w:hAnsi="MinionPro"/>
        </w:rPr>
        <w:t>ned as starting as low as 50 years and as high as 65 years of age. Consequently, cohort studies of older women may vary conside</w:t>
      </w:r>
      <w:r>
        <w:rPr>
          <w:rFonts w:ascii="MinionPro" w:hAnsi="MinionPro"/>
        </w:rPr>
        <w:t>rably by size and age distribu</w:t>
      </w:r>
      <w:r w:rsidR="00164830">
        <w:rPr>
          <w:rFonts w:ascii="MinionPro" w:hAnsi="MinionPro"/>
        </w:rPr>
        <w:t xml:space="preserve">tion depending on how individual researchers de ne </w:t>
      </w:r>
      <w:r w:rsidR="00164830">
        <w:rPr>
          <w:rFonts w:ascii="MinionPro" w:hAnsi="MinionPro"/>
          <w:i/>
          <w:iCs/>
        </w:rPr>
        <w:t xml:space="preserve">old </w:t>
      </w:r>
      <w:r w:rsidR="00164830">
        <w:rPr>
          <w:rFonts w:ascii="MinionPro" w:hAnsi="MinionPro"/>
        </w:rPr>
        <w:t xml:space="preserve">and the number of subjects included in the </w:t>
      </w:r>
      <w:r w:rsidR="00164830">
        <w:rPr>
          <w:rFonts w:ascii="MinionPro" w:hAnsi="MinionPro"/>
          <w:i/>
          <w:iCs/>
        </w:rPr>
        <w:t xml:space="preserve">old </w:t>
      </w:r>
      <w:r w:rsidR="00164830">
        <w:rPr>
          <w:rFonts w:ascii="MinionPro" w:hAnsi="MinionPro"/>
        </w:rPr>
        <w:t xml:space="preserve">category (Fisher, Zink, &amp; Regan, 2011). </w:t>
      </w:r>
    </w:p>
    <w:p w14:paraId="325B0108" w14:textId="49C73239" w:rsidR="00164830" w:rsidRDefault="00164830" w:rsidP="00164830">
      <w:pPr>
        <w:pStyle w:val="NormalWeb"/>
      </w:pPr>
      <w:r>
        <w:rPr>
          <w:rFonts w:ascii="MinionPro" w:hAnsi="MinionPro"/>
        </w:rPr>
        <w:t>Study variables such as decisions about when old age begins, categories or forms of abuse measured, de</w:t>
      </w:r>
      <w:r w:rsidR="007D6F99">
        <w:rPr>
          <w:rFonts w:ascii="MinionPro" w:hAnsi="MinionPro"/>
        </w:rPr>
        <w:t>fi</w:t>
      </w:r>
      <w:r>
        <w:rPr>
          <w:rFonts w:ascii="MinionPro" w:hAnsi="MinionPro"/>
        </w:rPr>
        <w:t>ned perpetrators of IPV, and locations of abusive experiences (homes or communities,</w:t>
      </w:r>
      <w:r w:rsidR="007D6F99">
        <w:rPr>
          <w:rFonts w:ascii="MinionPro" w:hAnsi="MinionPro"/>
        </w:rPr>
        <w:t xml:space="preserve"> but not care homes or institu</w:t>
      </w:r>
      <w:r>
        <w:rPr>
          <w:rFonts w:ascii="MinionPro" w:hAnsi="MinionPro"/>
        </w:rPr>
        <w:t>tions) serve to minimize perceptions of the extent of abuse of older women and this creates the impression that, compared with younger women, older women experience insigni</w:t>
      </w:r>
      <w:r w:rsidR="007D6F99">
        <w:rPr>
          <w:rFonts w:ascii="MinionPro" w:hAnsi="MinionPro"/>
        </w:rPr>
        <w:t>fi</w:t>
      </w:r>
      <w:r>
        <w:rPr>
          <w:rFonts w:ascii="MinionPro" w:hAnsi="MinionPro"/>
        </w:rPr>
        <w:t xml:space="preserve">cant amounts of IPV. For example, </w:t>
      </w:r>
      <w:proofErr w:type="spellStart"/>
      <w:r>
        <w:rPr>
          <w:rFonts w:ascii="MinionPro" w:hAnsi="MinionPro"/>
        </w:rPr>
        <w:t>Bonomi</w:t>
      </w:r>
      <w:proofErr w:type="spellEnd"/>
      <w:r>
        <w:rPr>
          <w:rFonts w:ascii="MinionPro" w:hAnsi="MinionPro"/>
        </w:rPr>
        <w:t xml:space="preserve"> and colleagues (2007) reported a one-year prevalence rate of late-life IPV of 2.2% and a </w:t>
      </w:r>
      <w:r w:rsidR="007D6F99">
        <w:rPr>
          <w:rFonts w:ascii="MinionPro" w:hAnsi="MinionPro"/>
        </w:rPr>
        <w:t>fi</w:t>
      </w:r>
      <w:r>
        <w:rPr>
          <w:rFonts w:ascii="MinionPro" w:hAnsi="MinionPro"/>
        </w:rPr>
        <w:t>ve-year prevalence rate of 3.5%. However, when examined from a life-course perspective, lifetime prevalence of IPV for women aged 65 years and older has been estimated at 26.5%, with 18.4% o</w:t>
      </w:r>
      <w:r w:rsidR="007D6F99">
        <w:rPr>
          <w:rFonts w:ascii="MinionPro" w:hAnsi="MinionPro"/>
        </w:rPr>
        <w:t>f older women experiencing phys</w:t>
      </w:r>
      <w:r>
        <w:rPr>
          <w:rFonts w:ascii="MinionPro" w:hAnsi="MinionPro"/>
        </w:rPr>
        <w:t>ical or sexual abuse and 23.9% experiencing nonphysical abuse (</w:t>
      </w:r>
      <w:proofErr w:type="spellStart"/>
      <w:r>
        <w:rPr>
          <w:rFonts w:ascii="MinionPro" w:hAnsi="MinionPro"/>
        </w:rPr>
        <w:t>Bonomi</w:t>
      </w:r>
      <w:proofErr w:type="spellEnd"/>
      <w:r>
        <w:rPr>
          <w:rFonts w:ascii="MinionPro" w:hAnsi="MinionPro"/>
        </w:rPr>
        <w:t xml:space="preserve"> et. al., 2007). </w:t>
      </w:r>
    </w:p>
    <w:p w14:paraId="68436F5D" w14:textId="77777777" w:rsidR="00164830" w:rsidRDefault="00164830" w:rsidP="00164830">
      <w:pPr>
        <w:pStyle w:val="NormalWeb"/>
      </w:pPr>
      <w:r>
        <w:rPr>
          <w:rFonts w:ascii="MinionPro" w:hAnsi="MinionPro"/>
          <w:b/>
          <w:bCs/>
          <w:sz w:val="22"/>
          <w:szCs w:val="22"/>
        </w:rPr>
        <w:t xml:space="preserve">Risk Factors for IPV in Later Life </w:t>
      </w:r>
    </w:p>
    <w:p w14:paraId="7E142C5B" w14:textId="28186A3D" w:rsidR="00164830" w:rsidRDefault="00164830" w:rsidP="00164830">
      <w:pPr>
        <w:pStyle w:val="NormalWeb"/>
      </w:pPr>
      <w:r>
        <w:rPr>
          <w:rFonts w:ascii="MinionPro" w:hAnsi="MinionPro"/>
        </w:rPr>
        <w:t>Older women experiencing IPV in later</w:t>
      </w:r>
      <w:r w:rsidR="007D6F99">
        <w:rPr>
          <w:rFonts w:ascii="MinionPro" w:hAnsi="MinionPro"/>
        </w:rPr>
        <w:t xml:space="preserve"> life face diff</w:t>
      </w:r>
      <w:r>
        <w:rPr>
          <w:rFonts w:ascii="MinionPro" w:hAnsi="MinionPro"/>
        </w:rPr>
        <w:t xml:space="preserve">erent risks depending on their older age cohort. In </w:t>
      </w:r>
      <w:r w:rsidR="007D6F99">
        <w:rPr>
          <w:rFonts w:ascii="MinionPro" w:hAnsi="MinionPro"/>
        </w:rPr>
        <w:t xml:space="preserve">IPV and intimate </w:t>
      </w:r>
      <w:proofErr w:type="spellStart"/>
      <w:r w:rsidR="007D6F99">
        <w:rPr>
          <w:rFonts w:ascii="MinionPro" w:hAnsi="MinionPro"/>
        </w:rPr>
        <w:t>femicide</w:t>
      </w:r>
      <w:proofErr w:type="spellEnd"/>
      <w:r w:rsidR="007D6F99">
        <w:rPr>
          <w:rFonts w:ascii="MinionPro" w:hAnsi="MinionPro"/>
        </w:rPr>
        <w:t xml:space="preserve"> stud</w:t>
      </w:r>
      <w:r>
        <w:rPr>
          <w:rFonts w:ascii="MinionPro" w:hAnsi="MinionPro"/>
        </w:rPr>
        <w:t xml:space="preserve">ies, older women up to age 74 are found to be at </w:t>
      </w:r>
    </w:p>
    <w:p w14:paraId="66F69CA3" w14:textId="77777777" w:rsidR="00164830" w:rsidRDefault="00164830" w:rsidP="00164830">
      <w:pPr>
        <w:pStyle w:val="NormalWeb"/>
      </w:pPr>
      <w:proofErr w:type="gramStart"/>
      <w:r>
        <w:rPr>
          <w:rFonts w:ascii="MinionPro" w:hAnsi="MinionPro"/>
          <w:i/>
          <w:iCs/>
          <w:sz w:val="16"/>
          <w:szCs w:val="16"/>
        </w:rPr>
        <w:t>e</w:t>
      </w:r>
      <w:proofErr w:type="gramEnd"/>
      <w:r>
        <w:rPr>
          <w:rFonts w:ascii="MinionPro" w:hAnsi="MinionPro"/>
          <w:i/>
          <w:iCs/>
          <w:sz w:val="16"/>
          <w:szCs w:val="16"/>
        </w:rPr>
        <w:t xml:space="preserve"> </w:t>
      </w:r>
      <w:proofErr w:type="spellStart"/>
      <w:r>
        <w:rPr>
          <w:rFonts w:ascii="MinionPro" w:hAnsi="MinionPro"/>
          <w:i/>
          <w:iCs/>
          <w:sz w:val="16"/>
          <w:szCs w:val="16"/>
        </w:rPr>
        <w:t>Encyclopedia</w:t>
      </w:r>
      <w:proofErr w:type="spellEnd"/>
      <w:r>
        <w:rPr>
          <w:rFonts w:ascii="MinionPro" w:hAnsi="MinionPro"/>
          <w:i/>
          <w:iCs/>
          <w:sz w:val="16"/>
          <w:szCs w:val="16"/>
        </w:rPr>
        <w:t xml:space="preserve"> of Adulthood and Aging</w:t>
      </w:r>
      <w:r>
        <w:rPr>
          <w:rFonts w:ascii="MinionPro" w:hAnsi="MinionPro"/>
          <w:sz w:val="16"/>
          <w:szCs w:val="16"/>
        </w:rPr>
        <w:t xml:space="preserve">, First Edition. Edited by Susan Krauss </w:t>
      </w:r>
      <w:proofErr w:type="spellStart"/>
      <w:r>
        <w:rPr>
          <w:rFonts w:ascii="MinionPro" w:hAnsi="MinionPro"/>
          <w:sz w:val="16"/>
          <w:szCs w:val="16"/>
        </w:rPr>
        <w:t>Whitbourne</w:t>
      </w:r>
      <w:proofErr w:type="spellEnd"/>
      <w:r>
        <w:rPr>
          <w:rFonts w:ascii="MinionPro" w:hAnsi="MinionPro"/>
          <w:sz w:val="16"/>
          <w:szCs w:val="16"/>
        </w:rPr>
        <w:t>. © 2016 John Wiley &amp; Sons, Inc. Published 2016 by John Wiley &amp; Sons, Inc.</w:t>
      </w:r>
      <w:r>
        <w:rPr>
          <w:rFonts w:ascii="MinionPro" w:hAnsi="MinionPro"/>
          <w:sz w:val="16"/>
          <w:szCs w:val="16"/>
        </w:rPr>
        <w:br/>
        <w:t xml:space="preserve">DOI: 10.1002/9781118528921.wbeaa152 </w:t>
      </w:r>
    </w:p>
    <w:p w14:paraId="1DE4038A" w14:textId="77777777" w:rsidR="00164830" w:rsidRDefault="00164830" w:rsidP="00164830">
      <w:pPr>
        <w:pStyle w:val="NormalWeb"/>
      </w:pPr>
      <w:r>
        <w:rPr>
          <w:rFonts w:ascii="MinionPro" w:hAnsi="MinionPro"/>
        </w:rPr>
        <w:lastRenderedPageBreak/>
        <w:t xml:space="preserve">2 </w:t>
      </w:r>
      <w:r>
        <w:rPr>
          <w:rFonts w:ascii="MinionPro" w:hAnsi="MinionPro"/>
          <w:sz w:val="16"/>
          <w:szCs w:val="16"/>
        </w:rPr>
        <w:t xml:space="preserve">OLDER WOMEN AND INTIMATE PARTNER VIOLENCE </w:t>
      </w:r>
    </w:p>
    <w:p w14:paraId="4F68954E" w14:textId="482C2B39" w:rsidR="00164830" w:rsidRDefault="00164830" w:rsidP="00164830">
      <w:pPr>
        <w:pStyle w:val="NormalWeb"/>
      </w:pPr>
      <w:proofErr w:type="gramStart"/>
      <w:r>
        <w:rPr>
          <w:rFonts w:ascii="MinionPro" w:hAnsi="MinionPro"/>
        </w:rPr>
        <w:t>greater</w:t>
      </w:r>
      <w:proofErr w:type="gramEnd"/>
      <w:r>
        <w:rPr>
          <w:rFonts w:ascii="MinionPro" w:hAnsi="MinionPro"/>
        </w:rPr>
        <w:t xml:space="preserve"> risk of abuse and violence culminating in death by intimate partners compared to women aged 75 years and older (Brownell &amp; Berman, 2004). In </w:t>
      </w:r>
      <w:r w:rsidR="007D6F99">
        <w:rPr>
          <w:rFonts w:ascii="MinionPro" w:hAnsi="MinionPro"/>
        </w:rPr>
        <w:t>addition, the forms of abuse diff</w:t>
      </w:r>
      <w:r>
        <w:rPr>
          <w:rFonts w:ascii="MinionPro" w:hAnsi="MinionPro"/>
        </w:rPr>
        <w:t xml:space="preserve">er by age cohort, with more physical violence reported against older women at the younger end of the old-age spectrum and more verbal abuse reported at the older end of the age spectrum. Because women tend to outlive male spouses, abuse of very old women tends to be perpetrated by family intimates such as adult children and grandchildren, as well as other relatives and caregivers. </w:t>
      </w:r>
    </w:p>
    <w:p w14:paraId="7A34B8CF" w14:textId="77777777" w:rsidR="00164830" w:rsidRDefault="00164830" w:rsidP="00164830">
      <w:pPr>
        <w:pStyle w:val="NormalWeb"/>
      </w:pPr>
      <w:r>
        <w:rPr>
          <w:rFonts w:ascii="MinionPro" w:hAnsi="MinionPro"/>
          <w:b/>
          <w:bCs/>
          <w:sz w:val="22"/>
          <w:szCs w:val="22"/>
        </w:rPr>
        <w:t xml:space="preserve">Characteristics of Perpetrators of IPV </w:t>
      </w:r>
    </w:p>
    <w:p w14:paraId="53A2D77B" w14:textId="69566F7E" w:rsidR="00164830" w:rsidRDefault="00164830" w:rsidP="00164830">
      <w:pPr>
        <w:pStyle w:val="NormalWeb"/>
      </w:pPr>
      <w:r>
        <w:rPr>
          <w:rFonts w:ascii="MinionPro" w:hAnsi="MinionPro"/>
        </w:rPr>
        <w:t xml:space="preserve">Impairment of the abuser is considered a risk factor for violence against women of all ages. Older women IPV victims identify concerns about the health of their spouse/partner abusers as </w:t>
      </w:r>
      <w:r w:rsidR="007D6F99">
        <w:rPr>
          <w:rFonts w:ascii="MinionPro" w:hAnsi="MinionPro"/>
        </w:rPr>
        <w:t>a rationale both for the perpet</w:t>
      </w:r>
      <w:r>
        <w:rPr>
          <w:rFonts w:ascii="MinionPro" w:hAnsi="MinionPro"/>
        </w:rPr>
        <w:t xml:space="preserve">rators’ </w:t>
      </w:r>
      <w:proofErr w:type="spellStart"/>
      <w:r>
        <w:rPr>
          <w:rFonts w:ascii="MinionPro" w:hAnsi="MinionPro"/>
        </w:rPr>
        <w:t>behavior</w:t>
      </w:r>
      <w:proofErr w:type="spellEnd"/>
      <w:r>
        <w:rPr>
          <w:rFonts w:ascii="MinionPro" w:hAnsi="MinionPro"/>
        </w:rPr>
        <w:t xml:space="preserve"> and for their (victims’) inability to leave the abusive situation. Older women are o en caregivers for their elderly spouse/partners, which can position them as targets of abuse by long-term abusive partners as well as abusive </w:t>
      </w:r>
      <w:proofErr w:type="spellStart"/>
      <w:r>
        <w:rPr>
          <w:rFonts w:ascii="MinionPro" w:hAnsi="MinionPro"/>
        </w:rPr>
        <w:t>behaviors</w:t>
      </w:r>
      <w:proofErr w:type="spellEnd"/>
      <w:r>
        <w:rPr>
          <w:rFonts w:ascii="MinionPro" w:hAnsi="MinionPro"/>
        </w:rPr>
        <w:t xml:space="preserve"> associated with cognitive decline associated with Alzheimer’s disease and other forms of dementia (</w:t>
      </w:r>
      <w:proofErr w:type="spellStart"/>
      <w:r>
        <w:rPr>
          <w:rFonts w:ascii="MinionPro" w:hAnsi="MinionPro"/>
        </w:rPr>
        <w:t>Paveza</w:t>
      </w:r>
      <w:proofErr w:type="spellEnd"/>
      <w:r>
        <w:rPr>
          <w:rFonts w:ascii="MinionPro" w:hAnsi="MinionPro"/>
        </w:rPr>
        <w:t xml:space="preserve">, 2010). </w:t>
      </w:r>
      <w:proofErr w:type="spellStart"/>
      <w:r>
        <w:rPr>
          <w:rFonts w:ascii="MinionPro" w:hAnsi="MinionPro"/>
        </w:rPr>
        <w:t>Brandl</w:t>
      </w:r>
      <w:proofErr w:type="spellEnd"/>
      <w:r>
        <w:rPr>
          <w:rFonts w:ascii="MinionPro" w:hAnsi="MinionPro"/>
        </w:rPr>
        <w:t xml:space="preserve"> (2000) observes, however, that abuse of older women caregivers even by spouses/partners with dementia may re </w:t>
      </w:r>
      <w:proofErr w:type="spellStart"/>
      <w:proofErr w:type="gramStart"/>
      <w:r>
        <w:rPr>
          <w:rFonts w:ascii="MinionPro" w:hAnsi="MinionPro"/>
        </w:rPr>
        <w:t>ect</w:t>
      </w:r>
      <w:proofErr w:type="spellEnd"/>
      <w:proofErr w:type="gramEnd"/>
      <w:r>
        <w:rPr>
          <w:rFonts w:ascii="MinionPro" w:hAnsi="MinionPro"/>
        </w:rPr>
        <w:t xml:space="preserve"> long-standing power and control dynamics, and should not be assumed to result from a disease process over which the perpetrator has no control. </w:t>
      </w:r>
    </w:p>
    <w:p w14:paraId="2931744F" w14:textId="77777777" w:rsidR="00164830" w:rsidRDefault="00164830" w:rsidP="00164830">
      <w:pPr>
        <w:pStyle w:val="NormalWeb"/>
      </w:pPr>
      <w:r>
        <w:rPr>
          <w:rFonts w:ascii="MinionPro" w:hAnsi="MinionPro"/>
          <w:b/>
          <w:bCs/>
          <w:sz w:val="22"/>
          <w:szCs w:val="22"/>
        </w:rPr>
        <w:t xml:space="preserve">Voices of Older Women Victims and Survivors of IPV </w:t>
      </w:r>
    </w:p>
    <w:p w14:paraId="00AC4699" w14:textId="0A81397B" w:rsidR="00164830" w:rsidRDefault="00164830" w:rsidP="00164830">
      <w:pPr>
        <w:pStyle w:val="NormalWeb"/>
      </w:pPr>
      <w:r>
        <w:rPr>
          <w:rFonts w:ascii="MinionPro" w:hAnsi="MinionPro"/>
        </w:rPr>
        <w:t>Starting in the 1990s, feminist gerontologists and qualitative researchers began to give voice to older wo</w:t>
      </w:r>
      <w:r w:rsidR="007D6F99">
        <w:rPr>
          <w:rFonts w:ascii="MinionPro" w:hAnsi="MinionPro"/>
        </w:rPr>
        <w:t>men experiencing IPV. These studi</w:t>
      </w:r>
      <w:r>
        <w:rPr>
          <w:rFonts w:ascii="MinionPro" w:hAnsi="MinionPro"/>
        </w:rPr>
        <w:t xml:space="preserve">es brought hidden aspects of late-life domestic violence to the forefront for program and pol- icy advocacy and development (Mears, 2003). </w:t>
      </w:r>
      <w:proofErr w:type="spellStart"/>
      <w:proofErr w:type="gramStart"/>
      <w:r>
        <w:rPr>
          <w:rFonts w:ascii="MinionPro" w:hAnsi="MinionPro"/>
        </w:rPr>
        <w:t>ey</w:t>
      </w:r>
      <w:proofErr w:type="spellEnd"/>
      <w:proofErr w:type="gramEnd"/>
      <w:r>
        <w:rPr>
          <w:rFonts w:ascii="MinionPro" w:hAnsi="MinionPro"/>
        </w:rPr>
        <w:t xml:space="preserve"> were also instrumental in identifying emergent needs and gaps in existing services (</w:t>
      </w:r>
      <w:proofErr w:type="spellStart"/>
      <w:r>
        <w:rPr>
          <w:rFonts w:ascii="MinionPro" w:hAnsi="MinionPro"/>
        </w:rPr>
        <w:t>Straka</w:t>
      </w:r>
      <w:proofErr w:type="spellEnd"/>
      <w:r>
        <w:rPr>
          <w:rFonts w:ascii="MinionPro" w:hAnsi="MinionPro"/>
        </w:rPr>
        <w:t xml:space="preserve"> &amp; </w:t>
      </w:r>
      <w:proofErr w:type="spellStart"/>
      <w:r>
        <w:rPr>
          <w:rFonts w:ascii="MinionPro" w:hAnsi="MinionPro"/>
        </w:rPr>
        <w:t>Montminy</w:t>
      </w:r>
      <w:proofErr w:type="spellEnd"/>
      <w:r>
        <w:rPr>
          <w:rFonts w:ascii="MinionPro" w:hAnsi="MinionPro"/>
        </w:rPr>
        <w:t xml:space="preserve">, 2006). In particular, </w:t>
      </w:r>
      <w:proofErr w:type="gramStart"/>
      <w:r>
        <w:rPr>
          <w:rFonts w:ascii="MinionPro" w:hAnsi="MinionPro"/>
        </w:rPr>
        <w:t>ol</w:t>
      </w:r>
      <w:r w:rsidR="007D6F99">
        <w:rPr>
          <w:rFonts w:ascii="MinionPro" w:hAnsi="MinionPro"/>
        </w:rPr>
        <w:t>der women</w:t>
      </w:r>
      <w:proofErr w:type="gramEnd"/>
      <w:r w:rsidR="007D6F99">
        <w:rPr>
          <w:rFonts w:ascii="MinionPro" w:hAnsi="MinionPro"/>
        </w:rPr>
        <w:t xml:space="preserve"> victims of IPV identifi</w:t>
      </w:r>
      <w:r>
        <w:rPr>
          <w:rFonts w:ascii="MinionPro" w:hAnsi="MinionPro"/>
        </w:rPr>
        <w:t xml:space="preserve">ed barriers to seeking and getting help, and needed services that if available could be helpful in resolving IPV situations. </w:t>
      </w:r>
    </w:p>
    <w:p w14:paraId="6C1D0AA2" w14:textId="77777777" w:rsidR="00164830" w:rsidRDefault="00164830" w:rsidP="00164830">
      <w:pPr>
        <w:pStyle w:val="NormalWeb"/>
      </w:pPr>
      <w:r>
        <w:rPr>
          <w:rFonts w:ascii="MinionPro" w:hAnsi="MinionPro"/>
          <w:b/>
          <w:bCs/>
          <w:i/>
          <w:iCs/>
        </w:rPr>
        <w:t xml:space="preserve">Barriers to Older Women Victims of IPV Seeking and Finding Help </w:t>
      </w:r>
    </w:p>
    <w:p w14:paraId="312DEBC1" w14:textId="287808E9" w:rsidR="00164830" w:rsidRDefault="007D6F99" w:rsidP="00164830">
      <w:pPr>
        <w:pStyle w:val="NormalWeb"/>
      </w:pPr>
      <w:r>
        <w:rPr>
          <w:rFonts w:ascii="MinionPro" w:hAnsi="MinionPro"/>
        </w:rPr>
        <w:t>Help seeking is identifi</w:t>
      </w:r>
      <w:r w:rsidR="00164830">
        <w:rPr>
          <w:rFonts w:ascii="MinionPro" w:hAnsi="MinionPro"/>
        </w:rPr>
        <w:t>ed as a critical step for older women experiencing IPV to achieve a violence-fre</w:t>
      </w:r>
      <w:r>
        <w:rPr>
          <w:rFonts w:ascii="MinionPro" w:hAnsi="MinionPro"/>
        </w:rPr>
        <w:t>e life. However, there are signifi</w:t>
      </w:r>
      <w:r w:rsidR="00164830">
        <w:rPr>
          <w:rFonts w:ascii="MinionPro" w:hAnsi="MinionPro"/>
        </w:rPr>
        <w:t>cant internal and external barriers to taking this step (</w:t>
      </w:r>
      <w:proofErr w:type="spellStart"/>
      <w:r w:rsidR="00164830">
        <w:rPr>
          <w:rFonts w:ascii="MinionPro" w:hAnsi="MinionPro"/>
        </w:rPr>
        <w:t>Beaulaurier</w:t>
      </w:r>
      <w:proofErr w:type="spellEnd"/>
      <w:r w:rsidR="00164830">
        <w:rPr>
          <w:rFonts w:ascii="MinionPro" w:hAnsi="MinionPro"/>
        </w:rPr>
        <w:t xml:space="preserve">, </w:t>
      </w:r>
      <w:proofErr w:type="gramStart"/>
      <w:r w:rsidR="00164830">
        <w:rPr>
          <w:rFonts w:ascii="MinionPro" w:hAnsi="MinionPro"/>
        </w:rPr>
        <w:t>Se ,</w:t>
      </w:r>
      <w:proofErr w:type="gramEnd"/>
      <w:r w:rsidR="00164830">
        <w:rPr>
          <w:rFonts w:ascii="MinionPro" w:hAnsi="MinionPro"/>
        </w:rPr>
        <w:t xml:space="preserve"> &amp; New- man, 2008). </w:t>
      </w:r>
      <w:r w:rsidR="00164830">
        <w:rPr>
          <w:rFonts w:ascii="MinionPro" w:hAnsi="MinionPro"/>
          <w:i/>
          <w:iCs/>
        </w:rPr>
        <w:t xml:space="preserve">Internal barriers </w:t>
      </w:r>
      <w:r w:rsidR="00164830">
        <w:rPr>
          <w:rFonts w:ascii="MinionPro" w:hAnsi="MinionPro"/>
        </w:rPr>
        <w:t>include self- blame and feelings of powerlessness and hopelessness. Older women victims of IPV reported feeling constrained from reporting the abuse because of the value they place on secrecy, the belief they should keep the abuse within the family, and not knowing where to go to talk about the abuse (</w:t>
      </w:r>
      <w:proofErr w:type="spellStart"/>
      <w:r w:rsidR="00164830">
        <w:rPr>
          <w:rFonts w:ascii="MinionPro" w:hAnsi="MinionPro"/>
        </w:rPr>
        <w:t>McGarry</w:t>
      </w:r>
      <w:proofErr w:type="spellEnd"/>
      <w:r w:rsidR="00164830">
        <w:rPr>
          <w:rFonts w:ascii="MinionPro" w:hAnsi="MinionPro"/>
        </w:rPr>
        <w:t xml:space="preserve"> &amp; Simpson, 2011). Older women were found to minimize emotional</w:t>
      </w:r>
      <w:r>
        <w:rPr>
          <w:rFonts w:ascii="MinionPro" w:hAnsi="MinionPro"/>
        </w:rPr>
        <w:t xml:space="preserve"> abuse even if they also identifi</w:t>
      </w:r>
      <w:r w:rsidR="00164830">
        <w:rPr>
          <w:rFonts w:ascii="MinionPro" w:hAnsi="MinionPro"/>
        </w:rPr>
        <w:t>ed it as the most prevalent and hurtful form of abuse in later life (</w:t>
      </w:r>
      <w:proofErr w:type="spellStart"/>
      <w:r w:rsidR="00164830">
        <w:rPr>
          <w:rFonts w:ascii="MinionPro" w:hAnsi="MinionPro"/>
        </w:rPr>
        <w:t>Mezey</w:t>
      </w:r>
      <w:proofErr w:type="spellEnd"/>
      <w:r w:rsidR="00164830">
        <w:rPr>
          <w:rFonts w:ascii="MinionPro" w:hAnsi="MinionPro"/>
        </w:rPr>
        <w:t xml:space="preserve">, Post, &amp; Maxwell, 2002). </w:t>
      </w:r>
      <w:r w:rsidR="00164830">
        <w:rPr>
          <w:rFonts w:ascii="MinionPro" w:hAnsi="MinionPro"/>
          <w:i/>
          <w:iCs/>
        </w:rPr>
        <w:t xml:space="preserve">External barriers </w:t>
      </w:r>
      <w:r w:rsidR="00164830">
        <w:rPr>
          <w:rFonts w:ascii="MinionPro" w:hAnsi="MinionPro"/>
        </w:rPr>
        <w:t>include rejection by adult children and other family members</w:t>
      </w:r>
      <w:r w:rsidR="003A4E18">
        <w:rPr>
          <w:rFonts w:ascii="MinionPro" w:hAnsi="MinionPro"/>
        </w:rPr>
        <w:t>, unsupportive clergy, and indiff</w:t>
      </w:r>
      <w:r w:rsidR="00164830">
        <w:rPr>
          <w:rFonts w:ascii="MinionPro" w:hAnsi="MinionPro"/>
        </w:rPr>
        <w:t xml:space="preserve">erent and even harmful responses by law enforcement and the courts (Hightower, Smith, &amp; Hightower, 2006). Abuser tactics or </w:t>
      </w:r>
      <w:proofErr w:type="spellStart"/>
      <w:r w:rsidR="00164830">
        <w:rPr>
          <w:rFonts w:ascii="MinionPro" w:hAnsi="MinionPro"/>
        </w:rPr>
        <w:t>behaviors</w:t>
      </w:r>
      <w:proofErr w:type="spellEnd"/>
      <w:r w:rsidR="00164830">
        <w:rPr>
          <w:rFonts w:ascii="MinionPro" w:hAnsi="MinionPro"/>
        </w:rPr>
        <w:t xml:space="preserve"> can also create barriers to old</w:t>
      </w:r>
      <w:r w:rsidR="003A4E18">
        <w:rPr>
          <w:rFonts w:ascii="MinionPro" w:hAnsi="MinionPro"/>
        </w:rPr>
        <w:t>er women victims leaving a vio</w:t>
      </w:r>
      <w:r w:rsidR="00164830">
        <w:rPr>
          <w:rFonts w:ascii="MinionPro" w:hAnsi="MinionPro"/>
        </w:rPr>
        <w:t>lent situation (</w:t>
      </w:r>
      <w:proofErr w:type="spellStart"/>
      <w:r w:rsidR="00164830">
        <w:rPr>
          <w:rFonts w:ascii="MinionPro" w:hAnsi="MinionPro"/>
        </w:rPr>
        <w:t>Beaulaurier</w:t>
      </w:r>
      <w:proofErr w:type="spellEnd"/>
      <w:r w:rsidR="00164830">
        <w:rPr>
          <w:rFonts w:ascii="MinionPro" w:hAnsi="MinionPro"/>
        </w:rPr>
        <w:t xml:space="preserve"> et al., 2008). </w:t>
      </w:r>
      <w:r w:rsidR="003A4E18">
        <w:rPr>
          <w:rFonts w:ascii="MinionPro" w:hAnsi="MinionPro"/>
        </w:rPr>
        <w:t>Th</w:t>
      </w:r>
      <w:r w:rsidR="00164830">
        <w:rPr>
          <w:rFonts w:ascii="MinionPro" w:hAnsi="MinionPro"/>
        </w:rPr>
        <w:t>ese include isolating the victim from extended family and frien</w:t>
      </w:r>
      <w:r w:rsidR="003A4E18">
        <w:rPr>
          <w:rFonts w:ascii="MinionPro" w:hAnsi="MinionPro"/>
        </w:rPr>
        <w:t>ds, intimidating her by threat</w:t>
      </w:r>
      <w:r w:rsidR="00164830">
        <w:rPr>
          <w:rFonts w:ascii="MinionPro" w:hAnsi="MinionPro"/>
        </w:rPr>
        <w:t xml:space="preserve">ening to harm her family members and pets, and escalating violence against her. Jealousy is also cited as a factor in abuse of older women, including via interrupting phone conversations and limiting the victim’s contact with others. </w:t>
      </w:r>
    </w:p>
    <w:p w14:paraId="49BA16B7" w14:textId="77777777" w:rsidR="00164830" w:rsidRDefault="00164830" w:rsidP="00164830">
      <w:pPr>
        <w:pStyle w:val="NormalWeb"/>
      </w:pPr>
      <w:r>
        <w:rPr>
          <w:rFonts w:ascii="MinionPro" w:hAnsi="MinionPro"/>
          <w:b/>
          <w:bCs/>
          <w:i/>
          <w:iCs/>
        </w:rPr>
        <w:t xml:space="preserve">Services for Older Women Victims of IPV </w:t>
      </w:r>
    </w:p>
    <w:p w14:paraId="03064EE3" w14:textId="6EC64212" w:rsidR="00164830" w:rsidRDefault="00164830" w:rsidP="00164830">
      <w:pPr>
        <w:pStyle w:val="NormalWeb"/>
      </w:pPr>
      <w:r>
        <w:rPr>
          <w:rFonts w:ascii="MinionPro" w:hAnsi="MinionPro"/>
        </w:rPr>
        <w:t>Sensitive and appropriate community-based services are important to helping older women IPV victims, and lack of co</w:t>
      </w:r>
      <w:r w:rsidR="003A4E18">
        <w:rPr>
          <w:rFonts w:ascii="MinionPro" w:hAnsi="MinionPro"/>
        </w:rPr>
        <w:t>mmunity supports can be a signifi</w:t>
      </w:r>
      <w:r>
        <w:rPr>
          <w:rFonts w:ascii="MinionPro" w:hAnsi="MinionPro"/>
        </w:rPr>
        <w:t xml:space="preserve">cant barrier to help seeking and </w:t>
      </w:r>
    </w:p>
    <w:p w14:paraId="240D1D3A" w14:textId="0DECD61E" w:rsidR="00164830" w:rsidRDefault="00164830" w:rsidP="00164830">
      <w:pPr>
        <w:pStyle w:val="NormalWeb"/>
      </w:pPr>
      <w:proofErr w:type="gramStart"/>
      <w:r>
        <w:rPr>
          <w:rFonts w:ascii="MinionPro" w:hAnsi="MinionPro"/>
        </w:rPr>
        <w:t>to</w:t>
      </w:r>
      <w:proofErr w:type="gramEnd"/>
      <w:r>
        <w:rPr>
          <w:rFonts w:ascii="MinionPro" w:hAnsi="MinionPro"/>
        </w:rPr>
        <w:t xml:space="preserve"> ending abuse. Older women have reported a lack of professional awareness and support services that cater to the needs of older women who have experienced IPV, in both community service and healthcare delivery systems. For example, screening older women for abuse is important in healthcare: Older women are likely to have regular contact with healthcare providers and this can be important for </w:t>
      </w:r>
      <w:proofErr w:type="spellStart"/>
      <w:r>
        <w:rPr>
          <w:rFonts w:ascii="MinionPro" w:hAnsi="MinionPro"/>
        </w:rPr>
        <w:t>detec</w:t>
      </w:r>
      <w:proofErr w:type="spellEnd"/>
      <w:r>
        <w:rPr>
          <w:rFonts w:ascii="MinionPro" w:hAnsi="MinionPro"/>
        </w:rPr>
        <w:t xml:space="preserve">- </w:t>
      </w:r>
      <w:proofErr w:type="spellStart"/>
      <w:r>
        <w:rPr>
          <w:rFonts w:ascii="MinionPro" w:hAnsi="MinionPro"/>
        </w:rPr>
        <w:t>tion</w:t>
      </w:r>
      <w:proofErr w:type="spellEnd"/>
      <w:r>
        <w:rPr>
          <w:rFonts w:ascii="MinionPro" w:hAnsi="MinionPro"/>
        </w:rPr>
        <w:t xml:space="preserve"> and intervention (</w:t>
      </w:r>
      <w:proofErr w:type="spellStart"/>
      <w:r>
        <w:rPr>
          <w:rFonts w:ascii="MinionPro" w:hAnsi="MinionPro"/>
        </w:rPr>
        <w:t>Desmarais</w:t>
      </w:r>
      <w:proofErr w:type="spellEnd"/>
      <w:r>
        <w:rPr>
          <w:rFonts w:ascii="MinionPro" w:hAnsi="MinionPro"/>
        </w:rPr>
        <w:t xml:space="preserve"> &amp; Reeves, 2007). </w:t>
      </w:r>
      <w:r>
        <w:rPr>
          <w:rFonts w:ascii="MinionPro" w:hAnsi="MinionPro"/>
          <w:i/>
          <w:iCs/>
        </w:rPr>
        <w:t xml:space="preserve">Support groups </w:t>
      </w:r>
      <w:r>
        <w:rPr>
          <w:rFonts w:ascii="MinionPro" w:hAnsi="MinionPro"/>
        </w:rPr>
        <w:t xml:space="preserve">have been developed for domestic violence victims of all ages (Raymond &amp; </w:t>
      </w:r>
      <w:proofErr w:type="spellStart"/>
      <w:r>
        <w:rPr>
          <w:rFonts w:ascii="MinionPro" w:hAnsi="MinionPro"/>
        </w:rPr>
        <w:t>Brandl</w:t>
      </w:r>
      <w:proofErr w:type="spellEnd"/>
      <w:r>
        <w:rPr>
          <w:rFonts w:ascii="MinionPro" w:hAnsi="MinionPro"/>
        </w:rPr>
        <w:t>, 2008</w:t>
      </w:r>
      <w:r w:rsidR="003A4E18">
        <w:rPr>
          <w:rFonts w:ascii="MinionPro" w:hAnsi="MinionPro"/>
        </w:rPr>
        <w:t>). Social support and psychoso</w:t>
      </w:r>
      <w:r>
        <w:rPr>
          <w:rFonts w:ascii="MinionPro" w:hAnsi="MinionPro"/>
        </w:rPr>
        <w:t>cial education provided by support groups designed for older women struggling with IPV are considered especially helpful in view of social isolation tactics used by their abusers (</w:t>
      </w:r>
      <w:proofErr w:type="spellStart"/>
      <w:r>
        <w:rPr>
          <w:rFonts w:ascii="MinionPro" w:hAnsi="MinionPro"/>
        </w:rPr>
        <w:t>Brandl</w:t>
      </w:r>
      <w:proofErr w:type="spellEnd"/>
      <w:r>
        <w:rPr>
          <w:rFonts w:ascii="MinionPro" w:hAnsi="MinionPro"/>
        </w:rPr>
        <w:t xml:space="preserve">, Hebert, </w:t>
      </w:r>
      <w:proofErr w:type="spellStart"/>
      <w:r>
        <w:rPr>
          <w:rFonts w:ascii="MinionPro" w:hAnsi="MinionPro"/>
        </w:rPr>
        <w:t>Rozwadowski</w:t>
      </w:r>
      <w:proofErr w:type="spellEnd"/>
      <w:r>
        <w:rPr>
          <w:rFonts w:ascii="MinionPro" w:hAnsi="MinionPro"/>
        </w:rPr>
        <w:t xml:space="preserve">, &amp; Spangler, 2003). </w:t>
      </w:r>
      <w:r>
        <w:rPr>
          <w:rFonts w:ascii="MinionPro" w:hAnsi="MinionPro"/>
          <w:i/>
          <w:iCs/>
        </w:rPr>
        <w:t xml:space="preserve">Domestic violence shelter </w:t>
      </w:r>
      <w:r>
        <w:rPr>
          <w:rFonts w:ascii="MinionPro" w:hAnsi="MinionPro"/>
        </w:rPr>
        <w:t xml:space="preserve">programs have not always been successful for older women who experience IPV. </w:t>
      </w:r>
      <w:proofErr w:type="gramStart"/>
      <w:r>
        <w:rPr>
          <w:rFonts w:ascii="MinionPro" w:hAnsi="MinionPro"/>
        </w:rPr>
        <w:t>is</w:t>
      </w:r>
      <w:proofErr w:type="gramEnd"/>
      <w:r>
        <w:rPr>
          <w:rFonts w:ascii="MinionPro" w:hAnsi="MinionPro"/>
        </w:rPr>
        <w:t xml:space="preserve"> </w:t>
      </w:r>
      <w:proofErr w:type="spellStart"/>
      <w:r>
        <w:rPr>
          <w:rFonts w:ascii="MinionPro" w:hAnsi="MinionPro"/>
        </w:rPr>
        <w:t>is</w:t>
      </w:r>
      <w:proofErr w:type="spellEnd"/>
      <w:r>
        <w:rPr>
          <w:rFonts w:ascii="MinionPro" w:hAnsi="MinionPro"/>
        </w:rPr>
        <w:t xml:space="preserve"> due to a general lack of t between shelter programs and the needs of older women victims. Outreach and education of providers in service systems such as aging service networks including senior centers and adult protective service systems ar</w:t>
      </w:r>
      <w:r w:rsidR="003A4E18">
        <w:rPr>
          <w:rFonts w:ascii="MinionPro" w:hAnsi="MinionPro"/>
        </w:rPr>
        <w:t>e also considered critical to eff</w:t>
      </w:r>
      <w:r>
        <w:rPr>
          <w:rFonts w:ascii="MinionPro" w:hAnsi="MinionPro"/>
        </w:rPr>
        <w:t xml:space="preserve">ective use of shelter services by older women (Vinton, 2003). </w:t>
      </w:r>
    </w:p>
    <w:p w14:paraId="26270DD8" w14:textId="77777777" w:rsidR="00164830" w:rsidRDefault="00164830" w:rsidP="00164830">
      <w:pPr>
        <w:pStyle w:val="NormalWeb"/>
      </w:pPr>
      <w:r>
        <w:rPr>
          <w:rFonts w:ascii="MinionPro" w:hAnsi="MinionPro"/>
          <w:b/>
          <w:bCs/>
          <w:sz w:val="22"/>
          <w:szCs w:val="22"/>
        </w:rPr>
        <w:t xml:space="preserve">Interventions for IPV in Late Life </w:t>
      </w:r>
    </w:p>
    <w:p w14:paraId="434AE4CB" w14:textId="734AA6EE" w:rsidR="00164830" w:rsidRDefault="00164830" w:rsidP="00164830">
      <w:pPr>
        <w:pStyle w:val="NormalWeb"/>
      </w:pPr>
      <w:r>
        <w:rPr>
          <w:rFonts w:ascii="MinionPro" w:hAnsi="MinionPro"/>
        </w:rPr>
        <w:t xml:space="preserve">In the United States, many states have legislated </w:t>
      </w:r>
      <w:proofErr w:type="spellStart"/>
      <w:r>
        <w:rPr>
          <w:rFonts w:ascii="MinionPro" w:hAnsi="MinionPro"/>
        </w:rPr>
        <w:t>batterers’</w:t>
      </w:r>
      <w:proofErr w:type="spellEnd"/>
      <w:r>
        <w:rPr>
          <w:rFonts w:ascii="MinionPro" w:hAnsi="MinionPro"/>
        </w:rPr>
        <w:t xml:space="preserve"> treatment programs as part of domes- tic violence prevention strategies, and these models are readily available online. While few focus entirely on older adult abusers, they suggest the inclusion of information on elder abuse as part of a focus on special populations, for example, in their curricula. Treatment programs for abusers with substance abuse and mental illness may be used by the criminal justice system as</w:t>
      </w:r>
      <w:r w:rsidR="003A4E18">
        <w:rPr>
          <w:rFonts w:ascii="MinionPro" w:hAnsi="MinionPro"/>
        </w:rPr>
        <w:t xml:space="preserve"> part of a court diversion sen</w:t>
      </w:r>
      <w:r>
        <w:rPr>
          <w:rFonts w:ascii="MinionPro" w:hAnsi="MinionPro"/>
        </w:rPr>
        <w:t xml:space="preserve">tence for family abusers if the victim requests this and the abuser </w:t>
      </w:r>
      <w:proofErr w:type="gramStart"/>
      <w:r>
        <w:rPr>
          <w:rFonts w:ascii="MinionPro" w:hAnsi="MinionPro"/>
        </w:rPr>
        <w:t>agrees</w:t>
      </w:r>
      <w:proofErr w:type="gramEnd"/>
      <w:r>
        <w:rPr>
          <w:rFonts w:ascii="MinionPro" w:hAnsi="MinionPro"/>
        </w:rPr>
        <w:t xml:space="preserve">. Perpetrators of violence, particularly sexual abuse, against older women in protective service systems are likely to be sentenced to jail or prison terms </w:t>
      </w:r>
    </w:p>
    <w:p w14:paraId="2B382AF8" w14:textId="77777777" w:rsidR="00164830" w:rsidRDefault="00164830" w:rsidP="00164830">
      <w:pPr>
        <w:pStyle w:val="NormalWeb"/>
      </w:pPr>
      <w:proofErr w:type="gramStart"/>
      <w:r>
        <w:rPr>
          <w:rFonts w:ascii="MinionPro" w:hAnsi="MinionPro"/>
        </w:rPr>
        <w:t>as</w:t>
      </w:r>
      <w:proofErr w:type="gramEnd"/>
      <w:r>
        <w:rPr>
          <w:rFonts w:ascii="MinionPro" w:hAnsi="MinionPro"/>
        </w:rPr>
        <w:t xml:space="preserve"> opposed to treatment programs (Roberto &amp; </w:t>
      </w:r>
      <w:proofErr w:type="spellStart"/>
      <w:r>
        <w:rPr>
          <w:rFonts w:ascii="MinionPro" w:hAnsi="MinionPro"/>
        </w:rPr>
        <w:t>Teaster</w:t>
      </w:r>
      <w:proofErr w:type="spellEnd"/>
      <w:r>
        <w:rPr>
          <w:rFonts w:ascii="MinionPro" w:hAnsi="MinionPro"/>
        </w:rPr>
        <w:t xml:space="preserve">, 2005). </w:t>
      </w:r>
    </w:p>
    <w:p w14:paraId="24D5432A" w14:textId="4FEF0565" w:rsidR="00164830" w:rsidRDefault="00164830" w:rsidP="00164830">
      <w:pPr>
        <w:pStyle w:val="NormalWeb"/>
      </w:pPr>
      <w:r>
        <w:rPr>
          <w:rFonts w:ascii="MinionPro" w:hAnsi="MinionPro"/>
        </w:rPr>
        <w:t xml:space="preserve">Koenig, </w:t>
      </w:r>
      <w:proofErr w:type="spellStart"/>
      <w:r>
        <w:rPr>
          <w:rFonts w:ascii="MinionPro" w:hAnsi="MinionPro"/>
        </w:rPr>
        <w:t>Rinfrette</w:t>
      </w:r>
      <w:proofErr w:type="spellEnd"/>
      <w:r>
        <w:rPr>
          <w:rFonts w:ascii="MinionPro" w:hAnsi="MinionPro"/>
        </w:rPr>
        <w:t>, and Lutz (2006) propose that female older adult caregivers need to understand and</w:t>
      </w:r>
      <w:r w:rsidR="003A4E18">
        <w:rPr>
          <w:rFonts w:ascii="MinionPro" w:hAnsi="MinionPro"/>
        </w:rPr>
        <w:t xml:space="preserve"> practice ethical decision mak</w:t>
      </w:r>
      <w:r>
        <w:rPr>
          <w:rFonts w:ascii="MinionPro" w:hAnsi="MinionPro"/>
        </w:rPr>
        <w:t>ing if they have a history of experiencing domestic abuse from the care receiver. Care- givers, o en older women, may be targets of abuse by i</w:t>
      </w:r>
      <w:r w:rsidR="003A4E18">
        <w:rPr>
          <w:rFonts w:ascii="MinionPro" w:hAnsi="MinionPro"/>
        </w:rPr>
        <w:t>mpaired spouses/partners; inter</w:t>
      </w:r>
      <w:r>
        <w:rPr>
          <w:rFonts w:ascii="MinionPro" w:hAnsi="MinionPro"/>
        </w:rPr>
        <w:t xml:space="preserve">ventions that teach caregivers how to avoid triggers to violent </w:t>
      </w:r>
      <w:proofErr w:type="spellStart"/>
      <w:r>
        <w:rPr>
          <w:rFonts w:ascii="MinionPro" w:hAnsi="MinionPro"/>
        </w:rPr>
        <w:t>behavior</w:t>
      </w:r>
      <w:proofErr w:type="spellEnd"/>
      <w:r>
        <w:rPr>
          <w:rFonts w:ascii="MinionPro" w:hAnsi="MinionPro"/>
        </w:rPr>
        <w:t xml:space="preserve"> of spouses and family members with Alzheimer’s disease have been shown to lessen this </w:t>
      </w:r>
      <w:proofErr w:type="spellStart"/>
      <w:r>
        <w:rPr>
          <w:rFonts w:ascii="MinionPro" w:hAnsi="MinionPro"/>
        </w:rPr>
        <w:t>behavior</w:t>
      </w:r>
      <w:proofErr w:type="spellEnd"/>
      <w:r>
        <w:rPr>
          <w:rFonts w:ascii="MinionPro" w:hAnsi="MinionPro"/>
        </w:rPr>
        <w:t xml:space="preserve"> toward caregivers (</w:t>
      </w:r>
      <w:proofErr w:type="spellStart"/>
      <w:r>
        <w:rPr>
          <w:rFonts w:ascii="MinionPro" w:hAnsi="MinionPro"/>
        </w:rPr>
        <w:t>Paveza</w:t>
      </w:r>
      <w:proofErr w:type="spellEnd"/>
      <w:r>
        <w:rPr>
          <w:rFonts w:ascii="MinionPro" w:hAnsi="MinionPro"/>
        </w:rPr>
        <w:t xml:space="preserve">, 2010). </w:t>
      </w:r>
    </w:p>
    <w:p w14:paraId="247E5848" w14:textId="60346C97" w:rsidR="00164830" w:rsidRDefault="00164830" w:rsidP="00164830">
      <w:pPr>
        <w:pStyle w:val="NormalWeb"/>
      </w:pPr>
      <w:proofErr w:type="gramStart"/>
      <w:r>
        <w:rPr>
          <w:rFonts w:ascii="MinionPro" w:hAnsi="MinionPro"/>
        </w:rPr>
        <w:t>e</w:t>
      </w:r>
      <w:proofErr w:type="gramEnd"/>
      <w:r>
        <w:rPr>
          <w:rFonts w:ascii="MinionPro" w:hAnsi="MinionPro"/>
        </w:rPr>
        <w:t xml:space="preserve"> latest national legislation on abuse of older adults, passed in 2010, is the Elder Justice Act, passed as part of the national healthcare legislativ</w:t>
      </w:r>
      <w:r w:rsidR="003A4E18">
        <w:rPr>
          <w:rFonts w:ascii="MinionPro" w:hAnsi="MinionPro"/>
        </w:rPr>
        <w:t>e, the Patient Protection and Aff</w:t>
      </w:r>
      <w:r>
        <w:rPr>
          <w:rFonts w:ascii="MinionPro" w:hAnsi="MinionPro"/>
        </w:rPr>
        <w:t xml:space="preserve">ordable Care Act (Ernst &amp; Brownell, 2013). </w:t>
      </w:r>
      <w:r w:rsidR="003A4E18">
        <w:rPr>
          <w:rFonts w:ascii="MinionPro" w:hAnsi="MinionPro"/>
        </w:rPr>
        <w:t>Th</w:t>
      </w:r>
      <w:r>
        <w:rPr>
          <w:rFonts w:ascii="MinionPro" w:hAnsi="MinionPro"/>
        </w:rPr>
        <w:t>e Elder Justice Act, although signed into law, has not been funded by the US congress as part of the appropriations process to date. In addition, this legislation is based on the assumption that elder abuse is a medical and an adult protective services issue</w:t>
      </w:r>
      <w:r w:rsidR="003A4E18">
        <w:rPr>
          <w:rFonts w:ascii="MinionPro" w:hAnsi="MinionPro"/>
        </w:rPr>
        <w:t>, not a domestic violence prob</w:t>
      </w:r>
      <w:r>
        <w:rPr>
          <w:rFonts w:ascii="MinionPro" w:hAnsi="MinionPro"/>
        </w:rPr>
        <w:t xml:space="preserve">lem. </w:t>
      </w:r>
      <w:proofErr w:type="gramStart"/>
      <w:r>
        <w:rPr>
          <w:rFonts w:ascii="MinionPro" w:hAnsi="MinionPro"/>
        </w:rPr>
        <w:t>e</w:t>
      </w:r>
      <w:proofErr w:type="gramEnd"/>
      <w:r>
        <w:rPr>
          <w:rFonts w:ascii="MinionPro" w:hAnsi="MinionPro"/>
        </w:rPr>
        <w:t xml:space="preserve"> federal domestic violence legislation, the Violence Against Women Act, recognizes older women as a category eligible for funding for community services and targeted training for law enforcement, but does not address state-level policy decisions about violence against women, including older women. </w:t>
      </w:r>
    </w:p>
    <w:p w14:paraId="1E0D9A93" w14:textId="77777777" w:rsidR="00164830" w:rsidRDefault="00164830" w:rsidP="00164830">
      <w:pPr>
        <w:pStyle w:val="NormalWeb"/>
      </w:pPr>
      <w:r>
        <w:rPr>
          <w:rFonts w:ascii="MinionPro" w:hAnsi="MinionPro"/>
          <w:b/>
          <w:bCs/>
          <w:sz w:val="22"/>
          <w:szCs w:val="22"/>
        </w:rPr>
        <w:t xml:space="preserve">Conclusions </w:t>
      </w:r>
    </w:p>
    <w:p w14:paraId="0AEFB9C5" w14:textId="3FBF3569" w:rsidR="00164830" w:rsidRDefault="003A4E18" w:rsidP="00164830">
      <w:pPr>
        <w:pStyle w:val="NormalWeb"/>
      </w:pPr>
      <w:r>
        <w:rPr>
          <w:rFonts w:ascii="MinionPro" w:hAnsi="MinionPro"/>
        </w:rPr>
        <w:t>Signifi</w:t>
      </w:r>
      <w:r w:rsidR="00164830">
        <w:rPr>
          <w:rFonts w:ascii="MinionPro" w:hAnsi="MinionPro"/>
        </w:rPr>
        <w:t>cant gaps remain in federal legislation, as well as policies and programs on state and local levels, to address IPV against older women. While researchers have begun to shed some light on the unique needs of older women IPV victims, more research is needed to identify</w:t>
      </w:r>
      <w:r>
        <w:rPr>
          <w:rFonts w:ascii="MinionPro" w:hAnsi="MinionPro"/>
        </w:rPr>
        <w:t xml:space="preserve"> salient factors in cultural diff</w:t>
      </w:r>
      <w:r w:rsidR="00164830">
        <w:rPr>
          <w:rFonts w:ascii="MinionPro" w:hAnsi="MinionPro"/>
        </w:rPr>
        <w:t xml:space="preserve">erences, age-related needs, and service gaps. Feminist scholars and </w:t>
      </w:r>
      <w:proofErr w:type="gramStart"/>
      <w:r w:rsidR="00164830">
        <w:rPr>
          <w:rFonts w:ascii="MinionPro" w:hAnsi="MinionPro"/>
        </w:rPr>
        <w:t>gerontologists</w:t>
      </w:r>
      <w:proofErr w:type="gramEnd"/>
      <w:r w:rsidR="00164830">
        <w:rPr>
          <w:rFonts w:ascii="MinionPro" w:hAnsi="MinionPro"/>
        </w:rPr>
        <w:t xml:space="preserve"> together need to focus more attention on older women and abuse, including older women who are care dependent and may lack the ability to protect </w:t>
      </w:r>
    </w:p>
    <w:p w14:paraId="29B66F2B" w14:textId="77777777" w:rsidR="00164830" w:rsidRDefault="00164830" w:rsidP="00164830">
      <w:pPr>
        <w:pStyle w:val="NormalWeb"/>
      </w:pPr>
      <w:r>
        <w:rPr>
          <w:rFonts w:ascii="MinionPro" w:hAnsi="MinionPro"/>
          <w:sz w:val="16"/>
          <w:szCs w:val="16"/>
        </w:rPr>
        <w:t xml:space="preserve">OLDER WOMEN AND INTIMATE PARTNER VIOLENCE </w:t>
      </w:r>
      <w:r>
        <w:rPr>
          <w:rFonts w:ascii="MinionPro" w:hAnsi="MinionPro"/>
        </w:rPr>
        <w:t xml:space="preserve">3 </w:t>
      </w:r>
    </w:p>
    <w:p w14:paraId="56D38BBA" w14:textId="77777777" w:rsidR="00164830" w:rsidRDefault="00164830" w:rsidP="00164830">
      <w:pPr>
        <w:pStyle w:val="NormalWeb"/>
      </w:pPr>
      <w:r>
        <w:rPr>
          <w:rFonts w:ascii="MinionPro" w:hAnsi="MinionPro"/>
        </w:rPr>
        <w:t xml:space="preserve">4 </w:t>
      </w:r>
      <w:r>
        <w:rPr>
          <w:rFonts w:ascii="MinionPro" w:hAnsi="MinionPro"/>
          <w:sz w:val="16"/>
          <w:szCs w:val="16"/>
        </w:rPr>
        <w:t xml:space="preserve">OLDER WOMEN AND INTIMATE PARTNER VIOLENCE </w:t>
      </w:r>
    </w:p>
    <w:p w14:paraId="0CA446E0" w14:textId="7DC4A539" w:rsidR="00164830" w:rsidRDefault="00164830" w:rsidP="00164830">
      <w:pPr>
        <w:pStyle w:val="NormalWeb"/>
      </w:pPr>
      <w:proofErr w:type="gramStart"/>
      <w:r>
        <w:rPr>
          <w:rFonts w:ascii="MinionPro" w:hAnsi="MinionPro"/>
        </w:rPr>
        <w:t>themselves</w:t>
      </w:r>
      <w:proofErr w:type="gramEnd"/>
      <w:r>
        <w:rPr>
          <w:rFonts w:ascii="MinionPro" w:hAnsi="MinionPro"/>
        </w:rPr>
        <w:t xml:space="preserve"> fr</w:t>
      </w:r>
      <w:r w:rsidR="003A4E18">
        <w:rPr>
          <w:rFonts w:ascii="MinionPro" w:hAnsi="MinionPro"/>
        </w:rPr>
        <w:t>om harm without special protect</w:t>
      </w:r>
      <w:r>
        <w:rPr>
          <w:rFonts w:ascii="MinionPro" w:hAnsi="MinionPro"/>
        </w:rPr>
        <w:t xml:space="preserve">ions. Incorporating rights-based approaches to practice with older women victims of IPV is an emerging </w:t>
      </w:r>
      <w:r w:rsidR="003A4E18">
        <w:rPr>
          <w:rFonts w:ascii="MinionPro" w:hAnsi="MinionPro"/>
        </w:rPr>
        <w:t>responsibility for helping pro</w:t>
      </w:r>
      <w:r>
        <w:rPr>
          <w:rFonts w:ascii="MinionPro" w:hAnsi="MinionPro"/>
        </w:rPr>
        <w:t xml:space="preserve">fessionals. Reforms in laws </w:t>
      </w:r>
      <w:r w:rsidR="003A4E18">
        <w:rPr>
          <w:rFonts w:ascii="MinionPro" w:hAnsi="MinionPro"/>
        </w:rPr>
        <w:t>and professional practice to refl</w:t>
      </w:r>
      <w:r>
        <w:rPr>
          <w:rFonts w:ascii="MinionPro" w:hAnsi="MinionPro"/>
        </w:rPr>
        <w:t xml:space="preserve">ect a life-course perspective on gender-based neglect, abuse, and violence are critical to ensuring justice for women of all ages. </w:t>
      </w:r>
    </w:p>
    <w:p w14:paraId="153FACDC" w14:textId="77777777" w:rsidR="00164830" w:rsidRDefault="00164830" w:rsidP="00164830">
      <w:pPr>
        <w:pStyle w:val="NormalWeb"/>
      </w:pPr>
      <w:r>
        <w:rPr>
          <w:rFonts w:ascii="MinionPro" w:hAnsi="MinionPro"/>
          <w:b/>
          <w:bCs/>
          <w:sz w:val="18"/>
          <w:szCs w:val="18"/>
        </w:rPr>
        <w:t xml:space="preserve">SEE ALSO: </w:t>
      </w:r>
      <w:r>
        <w:rPr>
          <w:rFonts w:ascii="MinionPro" w:hAnsi="MinionPro"/>
          <w:sz w:val="18"/>
          <w:szCs w:val="18"/>
        </w:rPr>
        <w:t xml:space="preserve">Abuse and Neglect of Family Members; Ageism; Caregiving: Alzheimer’s </w:t>
      </w:r>
      <w:proofErr w:type="gramStart"/>
      <w:r>
        <w:rPr>
          <w:rFonts w:ascii="MinionPro" w:hAnsi="MinionPro"/>
          <w:sz w:val="18"/>
          <w:szCs w:val="18"/>
        </w:rPr>
        <w:t>Disease</w:t>
      </w:r>
      <w:proofErr w:type="gramEnd"/>
      <w:r>
        <w:rPr>
          <w:rFonts w:ascii="MinionPro" w:hAnsi="MinionPro"/>
          <w:sz w:val="18"/>
          <w:szCs w:val="18"/>
        </w:rPr>
        <w:t xml:space="preserve"> and Related Disorders; Elder Abuse and Neglect; Gender and Physical Health in Later Life </w:t>
      </w:r>
    </w:p>
    <w:p w14:paraId="46D73137" w14:textId="77777777" w:rsidR="00164830" w:rsidRDefault="00164830" w:rsidP="00164830">
      <w:pPr>
        <w:pStyle w:val="NormalWeb"/>
      </w:pPr>
      <w:r>
        <w:rPr>
          <w:rFonts w:ascii="MinionPro" w:hAnsi="MinionPro"/>
          <w:b/>
          <w:bCs/>
        </w:rPr>
        <w:t xml:space="preserve">References </w:t>
      </w:r>
    </w:p>
    <w:p w14:paraId="4887D4C9" w14:textId="77777777" w:rsidR="00164830" w:rsidRDefault="00164830" w:rsidP="00164830">
      <w:pPr>
        <w:pStyle w:val="NormalWeb"/>
      </w:pPr>
      <w:proofErr w:type="spellStart"/>
      <w:r>
        <w:rPr>
          <w:rFonts w:ascii="MinionPro" w:hAnsi="MinionPro"/>
          <w:sz w:val="18"/>
          <w:szCs w:val="18"/>
        </w:rPr>
        <w:t>Beaulaurier</w:t>
      </w:r>
      <w:proofErr w:type="spellEnd"/>
      <w:r>
        <w:rPr>
          <w:rFonts w:ascii="MinionPro" w:hAnsi="MinionPro"/>
          <w:sz w:val="18"/>
          <w:szCs w:val="18"/>
        </w:rPr>
        <w:t xml:space="preserve">, R. L., </w:t>
      </w:r>
      <w:proofErr w:type="gramStart"/>
      <w:r>
        <w:rPr>
          <w:rFonts w:ascii="MinionPro" w:hAnsi="MinionPro"/>
          <w:sz w:val="18"/>
          <w:szCs w:val="18"/>
        </w:rPr>
        <w:t>Se ,</w:t>
      </w:r>
      <w:proofErr w:type="gramEnd"/>
      <w:r>
        <w:rPr>
          <w:rFonts w:ascii="MinionPro" w:hAnsi="MinionPro"/>
          <w:sz w:val="18"/>
          <w:szCs w:val="18"/>
        </w:rPr>
        <w:t xml:space="preserve"> L. R., &amp; Newman, F. L. (2008). Barriers to </w:t>
      </w:r>
      <w:proofErr w:type="gramStart"/>
      <w:r>
        <w:rPr>
          <w:rFonts w:ascii="MinionPro" w:hAnsi="MinionPro"/>
          <w:sz w:val="18"/>
          <w:szCs w:val="18"/>
        </w:rPr>
        <w:t>help-seeking</w:t>
      </w:r>
      <w:proofErr w:type="gramEnd"/>
      <w:r>
        <w:rPr>
          <w:rFonts w:ascii="MinionPro" w:hAnsi="MinionPro"/>
          <w:sz w:val="18"/>
          <w:szCs w:val="18"/>
        </w:rPr>
        <w:t xml:space="preserve"> for older women who experience intimate partner violence: A descriptive model. </w:t>
      </w:r>
      <w:r>
        <w:rPr>
          <w:rFonts w:ascii="MinionPro" w:hAnsi="MinionPro"/>
          <w:i/>
          <w:iCs/>
          <w:sz w:val="18"/>
          <w:szCs w:val="18"/>
        </w:rPr>
        <w:t>Journal of Women &amp; Aging, 23</w:t>
      </w:r>
      <w:r>
        <w:rPr>
          <w:rFonts w:ascii="MinionPro" w:hAnsi="MinionPro"/>
          <w:sz w:val="18"/>
          <w:szCs w:val="18"/>
        </w:rPr>
        <w:t xml:space="preserve">(3/4), 231–248.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10.1080/ 08952840801984543 </w:t>
      </w:r>
    </w:p>
    <w:p w14:paraId="1DFAF9A4" w14:textId="77777777" w:rsidR="00164830" w:rsidRDefault="00164830" w:rsidP="00164830">
      <w:pPr>
        <w:pStyle w:val="NormalWeb"/>
      </w:pPr>
      <w:proofErr w:type="spellStart"/>
      <w:r>
        <w:rPr>
          <w:rFonts w:ascii="MinionPro" w:hAnsi="MinionPro"/>
          <w:sz w:val="18"/>
          <w:szCs w:val="18"/>
        </w:rPr>
        <w:t>Bonomi</w:t>
      </w:r>
      <w:proofErr w:type="spellEnd"/>
      <w:r>
        <w:rPr>
          <w:rFonts w:ascii="MinionPro" w:hAnsi="MinionPro"/>
          <w:sz w:val="18"/>
          <w:szCs w:val="18"/>
        </w:rPr>
        <w:t xml:space="preserve">, A. E., Anderson, M. L., Reid, R. J., </w:t>
      </w:r>
      <w:proofErr w:type="spellStart"/>
      <w:r>
        <w:rPr>
          <w:rFonts w:ascii="MinionPro" w:hAnsi="MinionPro"/>
          <w:sz w:val="18"/>
          <w:szCs w:val="18"/>
        </w:rPr>
        <w:t>Carrell</w:t>
      </w:r>
      <w:proofErr w:type="spellEnd"/>
      <w:r>
        <w:rPr>
          <w:rFonts w:ascii="MinionPro" w:hAnsi="MinionPro"/>
          <w:sz w:val="18"/>
          <w:szCs w:val="18"/>
        </w:rPr>
        <w:t xml:space="preserve">, D., Fishman, P. A., </w:t>
      </w:r>
      <w:proofErr w:type="spellStart"/>
      <w:r>
        <w:rPr>
          <w:rFonts w:ascii="MinionPro" w:hAnsi="MinionPro"/>
          <w:sz w:val="18"/>
          <w:szCs w:val="18"/>
        </w:rPr>
        <w:t>Rivara</w:t>
      </w:r>
      <w:proofErr w:type="spellEnd"/>
      <w:r>
        <w:rPr>
          <w:rFonts w:ascii="MinionPro" w:hAnsi="MinionPro"/>
          <w:sz w:val="18"/>
          <w:szCs w:val="18"/>
        </w:rPr>
        <w:t xml:space="preserve">, F. P., &amp; </w:t>
      </w:r>
      <w:proofErr w:type="spellStart"/>
      <w:r>
        <w:rPr>
          <w:rFonts w:ascii="MinionPro" w:hAnsi="MinionPro"/>
          <w:sz w:val="18"/>
          <w:szCs w:val="18"/>
        </w:rPr>
        <w:t>ompson</w:t>
      </w:r>
      <w:proofErr w:type="spellEnd"/>
      <w:r>
        <w:rPr>
          <w:rFonts w:ascii="MinionPro" w:hAnsi="MinionPro"/>
          <w:sz w:val="18"/>
          <w:szCs w:val="18"/>
        </w:rPr>
        <w:t xml:space="preserve">, R. S. (2007). </w:t>
      </w:r>
      <w:proofErr w:type="gramStart"/>
      <w:r>
        <w:rPr>
          <w:rFonts w:ascii="MinionPro" w:hAnsi="MinionPro"/>
          <w:sz w:val="18"/>
          <w:szCs w:val="18"/>
        </w:rPr>
        <w:t>Intimate partner violence in older women.</w:t>
      </w:r>
      <w:proofErr w:type="gramEnd"/>
      <w:r>
        <w:rPr>
          <w:rFonts w:ascii="MinionPro" w:hAnsi="MinionPro"/>
          <w:sz w:val="18"/>
          <w:szCs w:val="18"/>
        </w:rPr>
        <w:t xml:space="preserve"> </w:t>
      </w:r>
      <w:proofErr w:type="gramStart"/>
      <w:r>
        <w:rPr>
          <w:rFonts w:ascii="MinionPro" w:hAnsi="MinionPro"/>
          <w:i/>
          <w:iCs/>
          <w:sz w:val="18"/>
          <w:szCs w:val="18"/>
        </w:rPr>
        <w:t>e</w:t>
      </w:r>
      <w:proofErr w:type="gramEnd"/>
      <w:r>
        <w:rPr>
          <w:rFonts w:ascii="MinionPro" w:hAnsi="MinionPro"/>
          <w:i/>
          <w:iCs/>
          <w:sz w:val="18"/>
          <w:szCs w:val="18"/>
        </w:rPr>
        <w:t xml:space="preserve"> Gerontologist, 47</w:t>
      </w:r>
      <w:r>
        <w:rPr>
          <w:rFonts w:ascii="MinionPro" w:hAnsi="MinionPro"/>
          <w:sz w:val="18"/>
          <w:szCs w:val="18"/>
        </w:rPr>
        <w:t xml:space="preserve">(1), 34–41. </w:t>
      </w:r>
    </w:p>
    <w:p w14:paraId="4047BB28" w14:textId="77777777" w:rsidR="00164830" w:rsidRDefault="00164830" w:rsidP="00164830">
      <w:pPr>
        <w:pStyle w:val="NormalWeb"/>
      </w:pPr>
      <w:proofErr w:type="spellStart"/>
      <w:proofErr w:type="gramStart"/>
      <w:r>
        <w:rPr>
          <w:rFonts w:ascii="MinionPro" w:hAnsi="MinionPro"/>
          <w:sz w:val="18"/>
          <w:szCs w:val="18"/>
        </w:rPr>
        <w:t>doi</w:t>
      </w:r>
      <w:proofErr w:type="spellEnd"/>
      <w:proofErr w:type="gramEnd"/>
      <w:r>
        <w:rPr>
          <w:rFonts w:ascii="MinionPro" w:hAnsi="MinionPro"/>
          <w:sz w:val="18"/>
          <w:szCs w:val="18"/>
        </w:rPr>
        <w:t>: 10.1093/</w:t>
      </w:r>
      <w:proofErr w:type="spellStart"/>
      <w:r>
        <w:rPr>
          <w:rFonts w:ascii="MinionPro" w:hAnsi="MinionPro"/>
          <w:sz w:val="18"/>
          <w:szCs w:val="18"/>
        </w:rPr>
        <w:t>geront</w:t>
      </w:r>
      <w:proofErr w:type="spellEnd"/>
      <w:r>
        <w:rPr>
          <w:rFonts w:ascii="MinionPro" w:hAnsi="MinionPro"/>
          <w:sz w:val="18"/>
          <w:szCs w:val="18"/>
        </w:rPr>
        <w:t xml:space="preserve">/47.1.34 </w:t>
      </w:r>
      <w:proofErr w:type="spellStart"/>
      <w:r>
        <w:rPr>
          <w:rFonts w:ascii="MinionPro" w:hAnsi="MinionPro"/>
          <w:sz w:val="18"/>
          <w:szCs w:val="18"/>
        </w:rPr>
        <w:t>Brandl</w:t>
      </w:r>
      <w:proofErr w:type="spellEnd"/>
      <w:r>
        <w:rPr>
          <w:rFonts w:ascii="MinionPro" w:hAnsi="MinionPro"/>
          <w:sz w:val="18"/>
          <w:szCs w:val="18"/>
        </w:rPr>
        <w:t xml:space="preserve">, B. (2000). Power and control: </w:t>
      </w:r>
    </w:p>
    <w:p w14:paraId="1AE3B850" w14:textId="77777777" w:rsidR="00164830" w:rsidRDefault="00164830" w:rsidP="00164830">
      <w:pPr>
        <w:pStyle w:val="NormalWeb"/>
      </w:pPr>
      <w:proofErr w:type="gramStart"/>
      <w:r>
        <w:rPr>
          <w:rFonts w:ascii="MinionPro" w:hAnsi="MinionPro"/>
          <w:sz w:val="18"/>
          <w:szCs w:val="18"/>
        </w:rPr>
        <w:t>Understanding abuse in later life.</w:t>
      </w:r>
      <w:proofErr w:type="gramEnd"/>
      <w:r>
        <w:rPr>
          <w:rFonts w:ascii="MinionPro" w:hAnsi="MinionPro"/>
          <w:sz w:val="18"/>
          <w:szCs w:val="18"/>
        </w:rPr>
        <w:t xml:space="preserve"> </w:t>
      </w:r>
      <w:r>
        <w:rPr>
          <w:rFonts w:ascii="MinionPro" w:hAnsi="MinionPro"/>
          <w:i/>
          <w:iCs/>
          <w:sz w:val="18"/>
          <w:szCs w:val="18"/>
        </w:rPr>
        <w:t xml:space="preserve">Generations, </w:t>
      </w:r>
    </w:p>
    <w:p w14:paraId="22751571" w14:textId="22DC9DA8" w:rsidR="00164830" w:rsidRDefault="00164830" w:rsidP="00164830">
      <w:pPr>
        <w:pStyle w:val="NormalWeb"/>
      </w:pPr>
      <w:r>
        <w:rPr>
          <w:rFonts w:ascii="MinionPro" w:hAnsi="MinionPro"/>
          <w:i/>
          <w:iCs/>
          <w:sz w:val="18"/>
          <w:szCs w:val="18"/>
        </w:rPr>
        <w:t>14</w:t>
      </w:r>
      <w:r>
        <w:rPr>
          <w:rFonts w:ascii="MinionPro" w:hAnsi="MinionPro"/>
          <w:sz w:val="18"/>
          <w:szCs w:val="18"/>
        </w:rPr>
        <w:t>(2), 39–45.</w:t>
      </w:r>
      <w:r>
        <w:rPr>
          <w:rFonts w:ascii="MinionPro" w:hAnsi="MinionPro"/>
          <w:sz w:val="18"/>
          <w:szCs w:val="18"/>
        </w:rPr>
        <w:br/>
      </w:r>
      <w:proofErr w:type="spellStart"/>
      <w:proofErr w:type="gramStart"/>
      <w:r>
        <w:rPr>
          <w:rFonts w:ascii="MinionPro" w:hAnsi="MinionPro"/>
          <w:sz w:val="18"/>
          <w:szCs w:val="18"/>
        </w:rPr>
        <w:t>Brandl</w:t>
      </w:r>
      <w:proofErr w:type="spellEnd"/>
      <w:r>
        <w:rPr>
          <w:rFonts w:ascii="MinionPro" w:hAnsi="MinionPro"/>
          <w:sz w:val="18"/>
          <w:szCs w:val="18"/>
        </w:rPr>
        <w:t xml:space="preserve">, B., Hebert, M., </w:t>
      </w:r>
      <w:proofErr w:type="spellStart"/>
      <w:r>
        <w:rPr>
          <w:rFonts w:ascii="MinionPro" w:hAnsi="MinionPro"/>
          <w:sz w:val="18"/>
          <w:szCs w:val="18"/>
        </w:rPr>
        <w:t>Rozwadowski</w:t>
      </w:r>
      <w:proofErr w:type="spellEnd"/>
      <w:r>
        <w:rPr>
          <w:rFonts w:ascii="MinionPro" w:hAnsi="MinionPro"/>
          <w:sz w:val="18"/>
          <w:szCs w:val="18"/>
        </w:rPr>
        <w:t>, J., &amp; Spangler, D. (2003).</w:t>
      </w:r>
      <w:proofErr w:type="gramEnd"/>
      <w:r>
        <w:rPr>
          <w:rFonts w:ascii="MinionPro" w:hAnsi="MinionPro"/>
          <w:sz w:val="18"/>
          <w:szCs w:val="18"/>
        </w:rPr>
        <w:t xml:space="preserve"> Feeling safe, feeling strong: Support groups for older abused women. </w:t>
      </w:r>
      <w:r>
        <w:rPr>
          <w:rFonts w:ascii="MinionPro" w:hAnsi="MinionPro"/>
          <w:i/>
          <w:iCs/>
          <w:sz w:val="18"/>
          <w:szCs w:val="18"/>
        </w:rPr>
        <w:t xml:space="preserve">Violence Against Women, 9, </w:t>
      </w:r>
      <w:r>
        <w:rPr>
          <w:rFonts w:ascii="MinionPro" w:hAnsi="MinionPro"/>
          <w:sz w:val="18"/>
          <w:szCs w:val="18"/>
        </w:rPr>
        <w:t>1490–1503.</w:t>
      </w:r>
      <w:r w:rsidR="00A05981">
        <w:rPr>
          <w:rFonts w:ascii="MinionPro" w:hAnsi="MinionPro"/>
          <w:sz w:val="18"/>
          <w:szCs w:val="18"/>
        </w:rPr>
        <w:t xml:space="preserve">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10.1177/1077801203259288 </w:t>
      </w:r>
    </w:p>
    <w:p w14:paraId="00C45FB4" w14:textId="77777777" w:rsidR="00164830" w:rsidRDefault="00164830" w:rsidP="00164830">
      <w:pPr>
        <w:pStyle w:val="NormalWeb"/>
      </w:pPr>
      <w:r>
        <w:rPr>
          <w:rFonts w:ascii="MinionPro" w:hAnsi="MinionPro"/>
          <w:sz w:val="18"/>
          <w:szCs w:val="18"/>
        </w:rPr>
        <w:t xml:space="preserve">Brownell, P., &amp; Berman, J. (2004). Homicides of older women in New York City: A pro le based on a secondary data analysis. In A. R. Roberts &amp; K. R. </w:t>
      </w:r>
      <w:proofErr w:type="spellStart"/>
      <w:r>
        <w:rPr>
          <w:rFonts w:ascii="MinionPro" w:hAnsi="MinionPro"/>
          <w:sz w:val="18"/>
          <w:szCs w:val="18"/>
        </w:rPr>
        <w:t>Yaeger</w:t>
      </w:r>
      <w:proofErr w:type="spellEnd"/>
      <w:r>
        <w:rPr>
          <w:rFonts w:ascii="MinionPro" w:hAnsi="MinionPro"/>
          <w:sz w:val="18"/>
          <w:szCs w:val="18"/>
        </w:rPr>
        <w:t xml:space="preserve"> (Eds.), </w:t>
      </w:r>
      <w:r>
        <w:rPr>
          <w:rFonts w:ascii="MinionPro" w:hAnsi="MinionPro"/>
          <w:i/>
          <w:iCs/>
          <w:sz w:val="18"/>
          <w:szCs w:val="18"/>
        </w:rPr>
        <w:t xml:space="preserve">Evidence-based practice manual: Research and outcome measures in health and human services </w:t>
      </w:r>
      <w:r>
        <w:rPr>
          <w:rFonts w:ascii="MinionPro" w:hAnsi="MinionPro"/>
          <w:sz w:val="18"/>
          <w:szCs w:val="18"/>
        </w:rPr>
        <w:t xml:space="preserve">(pp. 771–778). New York, NY: Oxford University Press. </w:t>
      </w:r>
    </w:p>
    <w:p w14:paraId="08983318" w14:textId="77777777" w:rsidR="00164830" w:rsidRDefault="00164830" w:rsidP="00164830">
      <w:pPr>
        <w:pStyle w:val="NormalWeb"/>
      </w:pPr>
      <w:proofErr w:type="spellStart"/>
      <w:r>
        <w:rPr>
          <w:rFonts w:ascii="MinionPro" w:hAnsi="MinionPro"/>
          <w:sz w:val="18"/>
          <w:szCs w:val="18"/>
        </w:rPr>
        <w:t>Desmarais</w:t>
      </w:r>
      <w:proofErr w:type="spellEnd"/>
      <w:r>
        <w:rPr>
          <w:rFonts w:ascii="MinionPro" w:hAnsi="MinionPro"/>
          <w:sz w:val="18"/>
          <w:szCs w:val="18"/>
        </w:rPr>
        <w:t xml:space="preserve">, M. A., &amp; Reeves, K. A. (2007). Gray, black, and blue: e state of research and intervention for intimate partner abuse among elders. </w:t>
      </w:r>
      <w:proofErr w:type="spellStart"/>
      <w:r>
        <w:rPr>
          <w:rFonts w:ascii="MinionPro" w:hAnsi="MinionPro"/>
          <w:i/>
          <w:iCs/>
          <w:sz w:val="18"/>
          <w:szCs w:val="18"/>
        </w:rPr>
        <w:t>Behavioral</w:t>
      </w:r>
      <w:proofErr w:type="spellEnd"/>
      <w:r>
        <w:rPr>
          <w:rFonts w:ascii="MinionPro" w:hAnsi="MinionPro"/>
          <w:i/>
          <w:iCs/>
          <w:sz w:val="18"/>
          <w:szCs w:val="18"/>
        </w:rPr>
        <w:t xml:space="preserve"> Sciences &amp; the Law, 25, </w:t>
      </w:r>
      <w:r>
        <w:rPr>
          <w:rFonts w:ascii="MinionPro" w:hAnsi="MinionPro"/>
          <w:sz w:val="18"/>
          <w:szCs w:val="18"/>
        </w:rPr>
        <w:t xml:space="preserve">377–391.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10.1002/bsl.763 </w:t>
      </w:r>
    </w:p>
    <w:p w14:paraId="51ECC3C2" w14:textId="77777777" w:rsidR="00164830" w:rsidRDefault="00164830" w:rsidP="00164830">
      <w:pPr>
        <w:pStyle w:val="NormalWeb"/>
      </w:pPr>
      <w:r>
        <w:rPr>
          <w:rFonts w:ascii="MinionPro" w:hAnsi="MinionPro"/>
          <w:sz w:val="18"/>
          <w:szCs w:val="18"/>
        </w:rPr>
        <w:t xml:space="preserve">Ernst, J. S., &amp; Brownell, P. (2013). </w:t>
      </w:r>
      <w:proofErr w:type="gramStart"/>
      <w:r>
        <w:rPr>
          <w:rFonts w:ascii="MinionPro" w:hAnsi="MinionPro"/>
          <w:sz w:val="18"/>
          <w:szCs w:val="18"/>
        </w:rPr>
        <w:t>United States of America.</w:t>
      </w:r>
      <w:proofErr w:type="gramEnd"/>
      <w:r>
        <w:rPr>
          <w:rFonts w:ascii="MinionPro" w:hAnsi="MinionPro"/>
          <w:sz w:val="18"/>
          <w:szCs w:val="18"/>
        </w:rPr>
        <w:t xml:space="preserve"> In A. Phelan (Ed.), </w:t>
      </w:r>
      <w:r>
        <w:rPr>
          <w:rFonts w:ascii="MinionPro" w:hAnsi="MinionPro"/>
          <w:i/>
          <w:iCs/>
          <w:sz w:val="18"/>
          <w:szCs w:val="18"/>
        </w:rPr>
        <w:t xml:space="preserve">International perspectives on elder abuse </w:t>
      </w:r>
      <w:r>
        <w:rPr>
          <w:rFonts w:ascii="MinionPro" w:hAnsi="MinionPro"/>
          <w:sz w:val="18"/>
          <w:szCs w:val="18"/>
        </w:rPr>
        <w:t xml:space="preserve">(pp. 206–221). London, UK: </w:t>
      </w:r>
      <w:proofErr w:type="spellStart"/>
      <w:r>
        <w:rPr>
          <w:rFonts w:ascii="MinionPro" w:hAnsi="MinionPro"/>
          <w:sz w:val="18"/>
          <w:szCs w:val="18"/>
        </w:rPr>
        <w:t>Routledge</w:t>
      </w:r>
      <w:proofErr w:type="spellEnd"/>
      <w:r>
        <w:rPr>
          <w:rFonts w:ascii="MinionPro" w:hAnsi="MinionPro"/>
          <w:sz w:val="18"/>
          <w:szCs w:val="18"/>
        </w:rPr>
        <w:t xml:space="preserve">. </w:t>
      </w:r>
    </w:p>
    <w:p w14:paraId="031EDCFC" w14:textId="77777777" w:rsidR="00164830" w:rsidRDefault="00164830" w:rsidP="00164830">
      <w:pPr>
        <w:pStyle w:val="NormalWeb"/>
      </w:pPr>
      <w:proofErr w:type="gramStart"/>
      <w:r>
        <w:rPr>
          <w:rFonts w:ascii="MinionPro" w:hAnsi="MinionPro"/>
          <w:sz w:val="18"/>
          <w:szCs w:val="18"/>
        </w:rPr>
        <w:t>Fisher, B. S., Zink, T., &amp; Regan, S. L. (2011).</w:t>
      </w:r>
      <w:proofErr w:type="gramEnd"/>
      <w:r>
        <w:rPr>
          <w:rFonts w:ascii="MinionPro" w:hAnsi="MinionPro"/>
          <w:sz w:val="18"/>
          <w:szCs w:val="18"/>
        </w:rPr>
        <w:t xml:space="preserve"> Abuses against older women: Prevalence and health e </w:t>
      </w:r>
      <w:proofErr w:type="spellStart"/>
      <w:r>
        <w:rPr>
          <w:rFonts w:ascii="MinionPro" w:hAnsi="MinionPro"/>
          <w:sz w:val="18"/>
          <w:szCs w:val="18"/>
        </w:rPr>
        <w:t>ects</w:t>
      </w:r>
      <w:proofErr w:type="spellEnd"/>
      <w:r>
        <w:rPr>
          <w:rFonts w:ascii="MinionPro" w:hAnsi="MinionPro"/>
          <w:sz w:val="18"/>
          <w:szCs w:val="18"/>
        </w:rPr>
        <w:t xml:space="preserve">. </w:t>
      </w:r>
      <w:r>
        <w:rPr>
          <w:rFonts w:ascii="MinionPro" w:hAnsi="MinionPro"/>
          <w:i/>
          <w:iCs/>
          <w:sz w:val="18"/>
          <w:szCs w:val="18"/>
        </w:rPr>
        <w:t>Journal of Interpersonal Violence, 26</w:t>
      </w:r>
      <w:r>
        <w:rPr>
          <w:rFonts w:ascii="MinionPro" w:hAnsi="MinionPro"/>
          <w:sz w:val="18"/>
          <w:szCs w:val="18"/>
        </w:rPr>
        <w:t xml:space="preserve">(2), 254–268.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10.1177/0886260510362877 </w:t>
      </w:r>
    </w:p>
    <w:p w14:paraId="52104FC4" w14:textId="77777777" w:rsidR="00164830" w:rsidRDefault="00164830" w:rsidP="00164830">
      <w:pPr>
        <w:pStyle w:val="NormalWeb"/>
      </w:pPr>
      <w:proofErr w:type="gramStart"/>
      <w:r>
        <w:rPr>
          <w:rFonts w:ascii="MinionPro" w:hAnsi="MinionPro"/>
          <w:sz w:val="18"/>
          <w:szCs w:val="18"/>
        </w:rPr>
        <w:t>Hightower, J., Smith, M. J., &amp; Hightower, H. C. (2006).</w:t>
      </w:r>
      <w:proofErr w:type="gramEnd"/>
      <w:r>
        <w:rPr>
          <w:rFonts w:ascii="MinionPro" w:hAnsi="MinionPro"/>
          <w:sz w:val="18"/>
          <w:szCs w:val="18"/>
        </w:rPr>
        <w:t xml:space="preserve"> Hearing the voices of older women. </w:t>
      </w:r>
      <w:r>
        <w:rPr>
          <w:rFonts w:ascii="MinionPro" w:hAnsi="MinionPro"/>
          <w:i/>
          <w:iCs/>
          <w:sz w:val="18"/>
          <w:szCs w:val="18"/>
        </w:rPr>
        <w:t xml:space="preserve">Journal of </w:t>
      </w:r>
      <w:proofErr w:type="spellStart"/>
      <w:r>
        <w:rPr>
          <w:rFonts w:ascii="MinionPro" w:hAnsi="MinionPro"/>
          <w:i/>
          <w:iCs/>
          <w:sz w:val="18"/>
          <w:szCs w:val="18"/>
        </w:rPr>
        <w:t>Gerontological</w:t>
      </w:r>
      <w:proofErr w:type="spellEnd"/>
      <w:r>
        <w:rPr>
          <w:rFonts w:ascii="MinionPro" w:hAnsi="MinionPro"/>
          <w:i/>
          <w:iCs/>
          <w:sz w:val="18"/>
          <w:szCs w:val="18"/>
        </w:rPr>
        <w:t xml:space="preserve"> Social Work, 46</w:t>
      </w:r>
      <w:r>
        <w:rPr>
          <w:rFonts w:ascii="MinionPro" w:hAnsi="MinionPro"/>
          <w:sz w:val="18"/>
          <w:szCs w:val="18"/>
        </w:rPr>
        <w:t xml:space="preserve">(3/4), 205–227.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10.1300/J083v46n03_12 </w:t>
      </w:r>
    </w:p>
    <w:p w14:paraId="56D0F017" w14:textId="77777777" w:rsidR="00164830" w:rsidRDefault="00164830" w:rsidP="00164830">
      <w:pPr>
        <w:pStyle w:val="NormalWeb"/>
      </w:pPr>
      <w:proofErr w:type="spellStart"/>
      <w:r>
        <w:rPr>
          <w:rFonts w:ascii="MinionPro" w:hAnsi="MinionPro"/>
          <w:sz w:val="18"/>
          <w:szCs w:val="18"/>
        </w:rPr>
        <w:t>Jönson</w:t>
      </w:r>
      <w:proofErr w:type="spellEnd"/>
      <w:r>
        <w:rPr>
          <w:rFonts w:ascii="MinionPro" w:hAnsi="MinionPro"/>
          <w:sz w:val="18"/>
          <w:szCs w:val="18"/>
        </w:rPr>
        <w:t xml:space="preserve">, H., &amp; </w:t>
      </w:r>
      <w:proofErr w:type="spellStart"/>
      <w:r>
        <w:rPr>
          <w:rFonts w:ascii="MinionPro" w:hAnsi="MinionPro"/>
          <w:sz w:val="18"/>
          <w:szCs w:val="18"/>
        </w:rPr>
        <w:t>Åkerström</w:t>
      </w:r>
      <w:proofErr w:type="spellEnd"/>
      <w:r>
        <w:rPr>
          <w:rFonts w:ascii="MinionPro" w:hAnsi="MinionPro"/>
          <w:sz w:val="18"/>
          <w:szCs w:val="18"/>
        </w:rPr>
        <w:t xml:space="preserve">, M. (2004). Neglect of elderly women in feminist studies of violence: A case of ageism? </w:t>
      </w:r>
      <w:r>
        <w:rPr>
          <w:rFonts w:ascii="MinionPro" w:hAnsi="MinionPro"/>
          <w:i/>
          <w:iCs/>
          <w:sz w:val="18"/>
          <w:szCs w:val="18"/>
        </w:rPr>
        <w:t>Journal of Elder Abuse &amp; Neglect, 16</w:t>
      </w:r>
      <w:r>
        <w:rPr>
          <w:rFonts w:ascii="MinionPro" w:hAnsi="MinionPro"/>
          <w:sz w:val="18"/>
          <w:szCs w:val="18"/>
        </w:rPr>
        <w:t xml:space="preserve">(1), 47–63.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10.1300/J084v16n01_03 </w:t>
      </w:r>
    </w:p>
    <w:p w14:paraId="289783B0" w14:textId="5D904AF6" w:rsidR="00164830" w:rsidRDefault="00164830" w:rsidP="00164830">
      <w:pPr>
        <w:pStyle w:val="NormalWeb"/>
      </w:pPr>
      <w:r>
        <w:rPr>
          <w:rFonts w:ascii="MinionPro" w:hAnsi="MinionPro"/>
          <w:sz w:val="18"/>
          <w:szCs w:val="18"/>
        </w:rPr>
        <w:t xml:space="preserve">Koenig, T. L., </w:t>
      </w:r>
      <w:proofErr w:type="spellStart"/>
      <w:r>
        <w:rPr>
          <w:rFonts w:ascii="MinionPro" w:hAnsi="MinionPro"/>
          <w:sz w:val="18"/>
          <w:szCs w:val="18"/>
        </w:rPr>
        <w:t>Rinfrette</w:t>
      </w:r>
      <w:proofErr w:type="spellEnd"/>
      <w:r>
        <w:rPr>
          <w:rFonts w:ascii="MinionPro" w:hAnsi="MinionPro"/>
          <w:sz w:val="18"/>
          <w:szCs w:val="18"/>
        </w:rPr>
        <w:t>, E. S., &amp; Lutz, W. A. (2006). Female car</w:t>
      </w:r>
      <w:r w:rsidR="00A05981">
        <w:rPr>
          <w:rFonts w:ascii="MinionPro" w:hAnsi="MinionPro"/>
          <w:sz w:val="18"/>
          <w:szCs w:val="18"/>
        </w:rPr>
        <w:t>egivers’ refl</w:t>
      </w:r>
      <w:r>
        <w:rPr>
          <w:rFonts w:ascii="MinionPro" w:hAnsi="MinionPro"/>
          <w:sz w:val="18"/>
          <w:szCs w:val="18"/>
        </w:rPr>
        <w:t xml:space="preserve">ections on ethical decision-making: e intersection of domestic violence and elder care. </w:t>
      </w:r>
      <w:r>
        <w:rPr>
          <w:rFonts w:ascii="MinionPro" w:hAnsi="MinionPro"/>
          <w:i/>
          <w:iCs/>
          <w:sz w:val="18"/>
          <w:szCs w:val="18"/>
        </w:rPr>
        <w:t>Clinical Social Work Journal, 34</w:t>
      </w:r>
      <w:r>
        <w:rPr>
          <w:rFonts w:ascii="MinionPro" w:hAnsi="MinionPro"/>
          <w:sz w:val="18"/>
          <w:szCs w:val="18"/>
        </w:rPr>
        <w:t xml:space="preserve">(3), 361–372.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10.1007/s10615- 005-0023-3 </w:t>
      </w:r>
    </w:p>
    <w:p w14:paraId="57A3CEE7" w14:textId="77777777" w:rsidR="00164830" w:rsidRDefault="00164830" w:rsidP="00164830">
      <w:pPr>
        <w:pStyle w:val="NormalWeb"/>
      </w:pPr>
      <w:proofErr w:type="spellStart"/>
      <w:r>
        <w:rPr>
          <w:rFonts w:ascii="MinionPro" w:hAnsi="MinionPro"/>
          <w:sz w:val="18"/>
          <w:szCs w:val="18"/>
        </w:rPr>
        <w:t>Manjoo</w:t>
      </w:r>
      <w:proofErr w:type="spellEnd"/>
      <w:r>
        <w:rPr>
          <w:rFonts w:ascii="MinionPro" w:hAnsi="MinionPro"/>
          <w:sz w:val="18"/>
          <w:szCs w:val="18"/>
        </w:rPr>
        <w:t xml:space="preserve">, R. (2012). </w:t>
      </w:r>
      <w:r>
        <w:rPr>
          <w:rFonts w:ascii="MinionPro" w:hAnsi="MinionPro"/>
          <w:i/>
          <w:iCs/>
          <w:sz w:val="18"/>
          <w:szCs w:val="18"/>
        </w:rPr>
        <w:t>Violence and abuse against older persons in the public and private spheres</w:t>
      </w:r>
      <w:r>
        <w:rPr>
          <w:rFonts w:ascii="MinionPro" w:hAnsi="MinionPro"/>
          <w:sz w:val="18"/>
          <w:szCs w:val="18"/>
        </w:rPr>
        <w:t xml:space="preserve">. </w:t>
      </w:r>
      <w:proofErr w:type="gramStart"/>
      <w:r>
        <w:rPr>
          <w:rFonts w:ascii="MinionPro" w:hAnsi="MinionPro"/>
          <w:sz w:val="18"/>
          <w:szCs w:val="18"/>
        </w:rPr>
        <w:t>Expert Group Meeting Human Rights of Older Persons.</w:t>
      </w:r>
      <w:proofErr w:type="gramEnd"/>
      <w:r>
        <w:rPr>
          <w:rFonts w:ascii="MinionPro" w:hAnsi="MinionPro"/>
          <w:sz w:val="18"/>
          <w:szCs w:val="18"/>
        </w:rPr>
        <w:t xml:space="preserve"> Retrieved February 23, 2015, from http://social.un.org/ageing-working-group/ documents/</w:t>
      </w:r>
      <w:proofErr w:type="spellStart"/>
      <w:r>
        <w:rPr>
          <w:rFonts w:ascii="MinionPro" w:hAnsi="MinionPro"/>
          <w:sz w:val="18"/>
          <w:szCs w:val="18"/>
        </w:rPr>
        <w:t>egm</w:t>
      </w:r>
      <w:proofErr w:type="spellEnd"/>
      <w:r>
        <w:rPr>
          <w:rFonts w:ascii="MinionPro" w:hAnsi="MinionPro"/>
          <w:sz w:val="18"/>
          <w:szCs w:val="18"/>
        </w:rPr>
        <w:t xml:space="preserve">/Session%202-RashidaManjoo. </w:t>
      </w:r>
      <w:proofErr w:type="spellStart"/>
      <w:proofErr w:type="gramStart"/>
      <w:r>
        <w:rPr>
          <w:rFonts w:ascii="MinionPro" w:hAnsi="MinionPro"/>
          <w:sz w:val="18"/>
          <w:szCs w:val="18"/>
        </w:rPr>
        <w:t>pdf</w:t>
      </w:r>
      <w:proofErr w:type="spellEnd"/>
      <w:proofErr w:type="gramEnd"/>
      <w:r>
        <w:rPr>
          <w:rFonts w:ascii="MinionPro" w:hAnsi="MinionPro"/>
          <w:sz w:val="18"/>
          <w:szCs w:val="18"/>
        </w:rPr>
        <w:t xml:space="preserve"> </w:t>
      </w:r>
    </w:p>
    <w:p w14:paraId="7709F9E4" w14:textId="77777777" w:rsidR="00D06B98" w:rsidRDefault="00164830" w:rsidP="00164830">
      <w:pPr>
        <w:pStyle w:val="NormalWeb"/>
        <w:rPr>
          <w:rFonts w:ascii="MinionPro" w:hAnsi="MinionPro"/>
          <w:sz w:val="18"/>
          <w:szCs w:val="18"/>
        </w:rPr>
      </w:pPr>
      <w:proofErr w:type="spellStart"/>
      <w:r>
        <w:rPr>
          <w:rFonts w:ascii="MinionPro" w:hAnsi="MinionPro"/>
          <w:sz w:val="18"/>
          <w:szCs w:val="18"/>
        </w:rPr>
        <w:t>McGarry</w:t>
      </w:r>
      <w:proofErr w:type="spellEnd"/>
      <w:r>
        <w:rPr>
          <w:rFonts w:ascii="MinionPro" w:hAnsi="MinionPro"/>
          <w:sz w:val="18"/>
          <w:szCs w:val="18"/>
        </w:rPr>
        <w:t xml:space="preserve">, J., &amp; Simpson, C. (2011). Domestic abuse and older women: Exploring the opportunities for service development and care delivery. </w:t>
      </w:r>
      <w:r>
        <w:rPr>
          <w:rFonts w:ascii="MinionPro" w:hAnsi="MinionPro"/>
          <w:i/>
          <w:iCs/>
          <w:sz w:val="18"/>
          <w:szCs w:val="18"/>
        </w:rPr>
        <w:t>Journal of Adult Protection, 13</w:t>
      </w:r>
      <w:r>
        <w:rPr>
          <w:rFonts w:ascii="MinionPro" w:hAnsi="MinionPro"/>
          <w:sz w:val="18"/>
          <w:szCs w:val="18"/>
        </w:rPr>
        <w:t xml:space="preserve">(6), 294–301. </w:t>
      </w:r>
      <w:proofErr w:type="spellStart"/>
      <w:proofErr w:type="gramStart"/>
      <w:r>
        <w:rPr>
          <w:rFonts w:ascii="MinionPro" w:hAnsi="MinionPro"/>
          <w:sz w:val="18"/>
          <w:szCs w:val="18"/>
        </w:rPr>
        <w:t>doi</w:t>
      </w:r>
      <w:proofErr w:type="spellEnd"/>
      <w:proofErr w:type="gramEnd"/>
      <w:r>
        <w:rPr>
          <w:rFonts w:ascii="MinionPro" w:hAnsi="MinionPro"/>
          <w:sz w:val="18"/>
          <w:szCs w:val="18"/>
        </w:rPr>
        <w:t>: 10.1108/14668201111194203</w:t>
      </w:r>
    </w:p>
    <w:p w14:paraId="1D0CF26C" w14:textId="54C4995C" w:rsidR="00164830" w:rsidRDefault="00164830" w:rsidP="00164830">
      <w:pPr>
        <w:pStyle w:val="NormalWeb"/>
      </w:pPr>
      <w:r>
        <w:rPr>
          <w:rFonts w:ascii="MinionPro" w:hAnsi="MinionPro"/>
          <w:sz w:val="18"/>
          <w:szCs w:val="18"/>
        </w:rPr>
        <w:br/>
        <w:t xml:space="preserve">Mears, J. (2003). Survival is not enough: Violence against older women in Australia. </w:t>
      </w:r>
      <w:r>
        <w:rPr>
          <w:rFonts w:ascii="MinionPro" w:hAnsi="MinionPro"/>
          <w:i/>
          <w:iCs/>
          <w:sz w:val="18"/>
          <w:szCs w:val="18"/>
        </w:rPr>
        <w:t>Violence Against Women, 9</w:t>
      </w:r>
      <w:r>
        <w:rPr>
          <w:rFonts w:ascii="MinionPro" w:hAnsi="MinionPro"/>
          <w:sz w:val="18"/>
          <w:szCs w:val="18"/>
        </w:rPr>
        <w:t xml:space="preserve">(12), 1478–1489.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10.1177/ 1077801203259287 </w:t>
      </w:r>
    </w:p>
    <w:p w14:paraId="14BCCA04" w14:textId="77777777" w:rsidR="00164830" w:rsidRDefault="00164830" w:rsidP="00164830">
      <w:pPr>
        <w:pStyle w:val="NormalWeb"/>
      </w:pPr>
      <w:proofErr w:type="spellStart"/>
      <w:r>
        <w:rPr>
          <w:rFonts w:ascii="MinionPro" w:hAnsi="MinionPro"/>
          <w:sz w:val="18"/>
          <w:szCs w:val="18"/>
        </w:rPr>
        <w:t>Mezey</w:t>
      </w:r>
      <w:proofErr w:type="spellEnd"/>
      <w:r>
        <w:rPr>
          <w:rFonts w:ascii="MinionPro" w:hAnsi="MinionPro"/>
          <w:sz w:val="18"/>
          <w:szCs w:val="18"/>
        </w:rPr>
        <w:t xml:space="preserve">, N. J., Post, L. A., &amp; Maxwell, C. D. (2002). </w:t>
      </w:r>
      <w:proofErr w:type="spellStart"/>
      <w:r>
        <w:rPr>
          <w:rFonts w:ascii="MinionPro" w:hAnsi="MinionPro"/>
          <w:sz w:val="18"/>
          <w:szCs w:val="18"/>
        </w:rPr>
        <w:t>Rede</w:t>
      </w:r>
      <w:proofErr w:type="spellEnd"/>
      <w:r>
        <w:rPr>
          <w:rFonts w:ascii="MinionPro" w:hAnsi="MinionPro"/>
          <w:sz w:val="18"/>
          <w:szCs w:val="18"/>
        </w:rPr>
        <w:t xml:space="preserve"> </w:t>
      </w:r>
      <w:proofErr w:type="spellStart"/>
      <w:r>
        <w:rPr>
          <w:rFonts w:ascii="MinionPro" w:hAnsi="MinionPro"/>
          <w:sz w:val="18"/>
          <w:szCs w:val="18"/>
        </w:rPr>
        <w:t>ning</w:t>
      </w:r>
      <w:proofErr w:type="spellEnd"/>
      <w:r>
        <w:rPr>
          <w:rFonts w:ascii="MinionPro" w:hAnsi="MinionPro"/>
          <w:sz w:val="18"/>
          <w:szCs w:val="18"/>
        </w:rPr>
        <w:t xml:space="preserve"> intimate partner violence: Women’s experiences with physical violence and non-physical abuse by age. </w:t>
      </w:r>
      <w:r>
        <w:rPr>
          <w:rFonts w:ascii="MinionPro" w:hAnsi="MinionPro"/>
          <w:i/>
          <w:iCs/>
          <w:sz w:val="18"/>
          <w:szCs w:val="18"/>
        </w:rPr>
        <w:t>International Journal of Sociology and Social Policy, 22</w:t>
      </w:r>
      <w:r>
        <w:rPr>
          <w:rFonts w:ascii="MinionPro" w:hAnsi="MinionPro"/>
          <w:sz w:val="18"/>
          <w:szCs w:val="18"/>
        </w:rPr>
        <w:t xml:space="preserve">(7/8), 122–154. </w:t>
      </w:r>
      <w:proofErr w:type="spellStart"/>
      <w:r>
        <w:rPr>
          <w:rFonts w:ascii="MinionPro" w:hAnsi="MinionPro"/>
          <w:sz w:val="18"/>
          <w:szCs w:val="18"/>
        </w:rPr>
        <w:t>doi</w:t>
      </w:r>
      <w:proofErr w:type="spellEnd"/>
      <w:r>
        <w:rPr>
          <w:rFonts w:ascii="MinionPro" w:hAnsi="MinionPro"/>
          <w:sz w:val="18"/>
          <w:szCs w:val="18"/>
        </w:rPr>
        <w:t xml:space="preserve">: 10.1108/01443330210790120 </w:t>
      </w:r>
    </w:p>
    <w:p w14:paraId="299EB872" w14:textId="77777777" w:rsidR="00164830" w:rsidRDefault="00164830" w:rsidP="00164830">
      <w:pPr>
        <w:pStyle w:val="NormalWeb"/>
      </w:pPr>
      <w:proofErr w:type="spellStart"/>
      <w:r>
        <w:rPr>
          <w:rFonts w:ascii="MinionPro" w:hAnsi="MinionPro"/>
          <w:sz w:val="18"/>
          <w:szCs w:val="18"/>
        </w:rPr>
        <w:t>Paveza</w:t>
      </w:r>
      <w:proofErr w:type="spellEnd"/>
      <w:r>
        <w:rPr>
          <w:rFonts w:ascii="MinionPro" w:hAnsi="MinionPro"/>
          <w:sz w:val="18"/>
          <w:szCs w:val="18"/>
        </w:rPr>
        <w:t xml:space="preserve">, G. J. (2010). </w:t>
      </w:r>
      <w:proofErr w:type="gramStart"/>
      <w:r>
        <w:rPr>
          <w:rFonts w:ascii="MinionPro" w:hAnsi="MinionPro"/>
          <w:sz w:val="18"/>
          <w:szCs w:val="18"/>
        </w:rPr>
        <w:t>Alzheimer’s disease and elder abuse.</w:t>
      </w:r>
      <w:proofErr w:type="gramEnd"/>
      <w:r>
        <w:rPr>
          <w:rFonts w:ascii="MinionPro" w:hAnsi="MinionPro"/>
          <w:sz w:val="18"/>
          <w:szCs w:val="18"/>
        </w:rPr>
        <w:t xml:space="preserve"> </w:t>
      </w:r>
      <w:proofErr w:type="gramStart"/>
      <w:r>
        <w:rPr>
          <w:rFonts w:ascii="MinionPro" w:hAnsi="MinionPro"/>
          <w:sz w:val="18"/>
          <w:szCs w:val="18"/>
        </w:rPr>
        <w:t>Presentation at the NGO Committee on Ageing, United Nations, New York, NY.</w:t>
      </w:r>
      <w:proofErr w:type="gramEnd"/>
      <w:r>
        <w:rPr>
          <w:rFonts w:ascii="MinionPro" w:hAnsi="MinionPro"/>
          <w:sz w:val="18"/>
          <w:szCs w:val="18"/>
        </w:rPr>
        <w:t xml:space="preserve"> Retrieved February 23, 2015, from http://www. </w:t>
      </w:r>
      <w:proofErr w:type="gramStart"/>
      <w:r>
        <w:rPr>
          <w:rFonts w:ascii="MinionPro" w:hAnsi="MinionPro"/>
          <w:sz w:val="18"/>
          <w:szCs w:val="18"/>
        </w:rPr>
        <w:t>ngocoa</w:t>
      </w:r>
      <w:proofErr w:type="gramEnd"/>
      <w:r>
        <w:rPr>
          <w:rFonts w:ascii="MinionPro" w:hAnsi="MinionPro"/>
          <w:sz w:val="18"/>
          <w:szCs w:val="18"/>
        </w:rPr>
        <w:t>-ny.org/</w:t>
      </w:r>
      <w:proofErr w:type="spellStart"/>
      <w:r>
        <w:rPr>
          <w:rFonts w:ascii="MinionPro" w:hAnsi="MinionPro"/>
          <w:sz w:val="18"/>
          <w:szCs w:val="18"/>
        </w:rPr>
        <w:t>about_us</w:t>
      </w:r>
      <w:proofErr w:type="spellEnd"/>
      <w:r>
        <w:rPr>
          <w:rFonts w:ascii="MinionPro" w:hAnsi="MinionPro"/>
          <w:sz w:val="18"/>
          <w:szCs w:val="18"/>
        </w:rPr>
        <w:t xml:space="preserve">/sub-committees/elder- abuse-archives/paveza-presentation-to.pdf </w:t>
      </w:r>
    </w:p>
    <w:p w14:paraId="4916C1B5" w14:textId="77777777" w:rsidR="00164830" w:rsidRDefault="00164830" w:rsidP="00164830">
      <w:pPr>
        <w:pStyle w:val="NormalWeb"/>
      </w:pPr>
      <w:proofErr w:type="spellStart"/>
      <w:r>
        <w:rPr>
          <w:rFonts w:ascii="MinionPro" w:hAnsi="MinionPro"/>
          <w:sz w:val="18"/>
          <w:szCs w:val="18"/>
        </w:rPr>
        <w:t>Penhale</w:t>
      </w:r>
      <w:proofErr w:type="spellEnd"/>
      <w:r>
        <w:rPr>
          <w:rFonts w:ascii="MinionPro" w:hAnsi="MinionPro"/>
          <w:sz w:val="18"/>
          <w:szCs w:val="18"/>
        </w:rPr>
        <w:t xml:space="preserve">, B. (2008). </w:t>
      </w:r>
      <w:proofErr w:type="gramStart"/>
      <w:r>
        <w:rPr>
          <w:rFonts w:ascii="MinionPro" w:hAnsi="MinionPro"/>
          <w:sz w:val="18"/>
          <w:szCs w:val="18"/>
        </w:rPr>
        <w:t>Elder abuse in the United Kingdom.</w:t>
      </w:r>
      <w:proofErr w:type="gramEnd"/>
      <w:r>
        <w:rPr>
          <w:rFonts w:ascii="MinionPro" w:hAnsi="MinionPro"/>
          <w:sz w:val="18"/>
          <w:szCs w:val="18"/>
        </w:rPr>
        <w:t xml:space="preserve"> </w:t>
      </w:r>
      <w:r>
        <w:rPr>
          <w:rFonts w:ascii="MinionPro" w:hAnsi="MinionPro"/>
          <w:i/>
          <w:iCs/>
          <w:sz w:val="18"/>
          <w:szCs w:val="18"/>
        </w:rPr>
        <w:t>Journal of Elder Abuse &amp; Neglect, 20</w:t>
      </w:r>
      <w:r>
        <w:rPr>
          <w:rFonts w:ascii="MinionPro" w:hAnsi="MinionPro"/>
          <w:sz w:val="18"/>
          <w:szCs w:val="18"/>
        </w:rPr>
        <w:t xml:space="preserve">(2), 151–168.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10.1080/ 08946560801974653 </w:t>
      </w:r>
    </w:p>
    <w:p w14:paraId="17F66001" w14:textId="6BA21C53" w:rsidR="00164830" w:rsidRDefault="00164830" w:rsidP="00164830">
      <w:pPr>
        <w:pStyle w:val="NormalWeb"/>
      </w:pPr>
      <w:proofErr w:type="spellStart"/>
      <w:r>
        <w:rPr>
          <w:rFonts w:ascii="MinionPro" w:hAnsi="MinionPro"/>
          <w:sz w:val="18"/>
          <w:szCs w:val="18"/>
        </w:rPr>
        <w:t>Penhale</w:t>
      </w:r>
      <w:proofErr w:type="spellEnd"/>
      <w:r>
        <w:rPr>
          <w:rFonts w:ascii="MinionPro" w:hAnsi="MinionPro"/>
          <w:sz w:val="18"/>
          <w:szCs w:val="18"/>
        </w:rPr>
        <w:t xml:space="preserve">, B., &amp; </w:t>
      </w:r>
      <w:proofErr w:type="spellStart"/>
      <w:r>
        <w:rPr>
          <w:rFonts w:ascii="MinionPro" w:hAnsi="MinionPro"/>
          <w:sz w:val="18"/>
          <w:szCs w:val="18"/>
        </w:rPr>
        <w:t>Porritt</w:t>
      </w:r>
      <w:proofErr w:type="spellEnd"/>
      <w:r>
        <w:rPr>
          <w:rFonts w:ascii="MinionPro" w:hAnsi="MinionPro"/>
          <w:sz w:val="18"/>
          <w:szCs w:val="18"/>
        </w:rPr>
        <w:t xml:space="preserve">, J. (2010). </w:t>
      </w:r>
      <w:proofErr w:type="gramStart"/>
      <w:r>
        <w:rPr>
          <w:rFonts w:ascii="MinionPro" w:hAnsi="MinionPro"/>
          <w:i/>
          <w:iCs/>
          <w:sz w:val="18"/>
          <w:szCs w:val="18"/>
        </w:rPr>
        <w:t>Intimate partner violence against older women</w:t>
      </w:r>
      <w:r>
        <w:rPr>
          <w:rFonts w:ascii="MinionPro" w:hAnsi="MinionPro"/>
          <w:sz w:val="18"/>
          <w:szCs w:val="18"/>
        </w:rPr>
        <w:t>.</w:t>
      </w:r>
      <w:proofErr w:type="gramEnd"/>
      <w:r>
        <w:rPr>
          <w:rFonts w:ascii="MinionPro" w:hAnsi="MinionPro"/>
          <w:sz w:val="18"/>
          <w:szCs w:val="18"/>
        </w:rPr>
        <w:t xml:space="preserve"> Retrieved February 23, 2015, from https://www.uea.ac.uk/ documents/2397319/2510614/</w:t>
      </w:r>
      <w:proofErr w:type="spellStart"/>
      <w:r>
        <w:rPr>
          <w:rFonts w:ascii="MinionPro" w:hAnsi="MinionPro"/>
          <w:sz w:val="18"/>
          <w:szCs w:val="18"/>
        </w:rPr>
        <w:t>IPVoW</w:t>
      </w:r>
      <w:r>
        <w:rPr>
          <w:rFonts w:ascii="STIXMath" w:hAnsi="STIXMath"/>
          <w:sz w:val="18"/>
          <w:szCs w:val="18"/>
        </w:rPr>
        <w:t>+</w:t>
      </w:r>
      <w:r>
        <w:rPr>
          <w:rFonts w:ascii="MinionPro" w:hAnsi="MinionPro"/>
          <w:sz w:val="18"/>
          <w:szCs w:val="18"/>
        </w:rPr>
        <w:t>UK</w:t>
      </w:r>
      <w:proofErr w:type="spellEnd"/>
      <w:r>
        <w:rPr>
          <w:rFonts w:ascii="STIXMath" w:hAnsi="STIXMath"/>
          <w:sz w:val="18"/>
          <w:szCs w:val="18"/>
        </w:rPr>
        <w:t xml:space="preserve">+ </w:t>
      </w:r>
      <w:r>
        <w:rPr>
          <w:rFonts w:ascii="MinionPro" w:hAnsi="MinionPro"/>
          <w:sz w:val="18"/>
          <w:szCs w:val="18"/>
        </w:rPr>
        <w:t>National</w:t>
      </w:r>
      <w:r>
        <w:rPr>
          <w:rFonts w:ascii="STIXMath" w:hAnsi="STIXMath"/>
          <w:sz w:val="18"/>
          <w:szCs w:val="18"/>
        </w:rPr>
        <w:t>+</w:t>
      </w:r>
      <w:r>
        <w:rPr>
          <w:rFonts w:ascii="MinionPro" w:hAnsi="MinionPro"/>
          <w:sz w:val="18"/>
          <w:szCs w:val="18"/>
        </w:rPr>
        <w:t xml:space="preserve">Report.pdf/c46ac112-7ec1-4259-9b26- </w:t>
      </w:r>
      <w:proofErr w:type="gramStart"/>
      <w:r>
        <w:rPr>
          <w:rFonts w:ascii="MinionPro" w:hAnsi="MinionPro"/>
          <w:sz w:val="18"/>
          <w:szCs w:val="18"/>
        </w:rPr>
        <w:t>e2cbd575bf4a</w:t>
      </w:r>
      <w:proofErr w:type="gramEnd"/>
      <w:r>
        <w:rPr>
          <w:rFonts w:ascii="MinionPro" w:hAnsi="MinionPro"/>
          <w:sz w:val="18"/>
          <w:szCs w:val="18"/>
        </w:rPr>
        <w:t xml:space="preserve"> </w:t>
      </w:r>
    </w:p>
    <w:p w14:paraId="61CDB8DD" w14:textId="77777777" w:rsidR="00164830" w:rsidRDefault="00164830" w:rsidP="00164830">
      <w:pPr>
        <w:pStyle w:val="NormalWeb"/>
      </w:pPr>
      <w:r>
        <w:rPr>
          <w:rFonts w:ascii="MinionPro" w:hAnsi="MinionPro"/>
          <w:sz w:val="18"/>
          <w:szCs w:val="18"/>
        </w:rPr>
        <w:t xml:space="preserve">Raymond, J. A., &amp; </w:t>
      </w:r>
      <w:proofErr w:type="spellStart"/>
      <w:r>
        <w:rPr>
          <w:rFonts w:ascii="MinionPro" w:hAnsi="MinionPro"/>
          <w:sz w:val="18"/>
          <w:szCs w:val="18"/>
        </w:rPr>
        <w:t>Brandl</w:t>
      </w:r>
      <w:proofErr w:type="spellEnd"/>
      <w:r>
        <w:rPr>
          <w:rFonts w:ascii="MinionPro" w:hAnsi="MinionPro"/>
          <w:sz w:val="18"/>
          <w:szCs w:val="18"/>
        </w:rPr>
        <w:t xml:space="preserve">, B. (2008). </w:t>
      </w:r>
      <w:r>
        <w:rPr>
          <w:rFonts w:ascii="MinionPro" w:hAnsi="MinionPro"/>
          <w:i/>
          <w:iCs/>
          <w:sz w:val="18"/>
          <w:szCs w:val="18"/>
        </w:rPr>
        <w:t>In their own words: Domestic abuse in later life</w:t>
      </w:r>
      <w:r>
        <w:rPr>
          <w:rFonts w:ascii="MinionPro" w:hAnsi="MinionPro"/>
          <w:sz w:val="18"/>
          <w:szCs w:val="18"/>
        </w:rPr>
        <w:t xml:space="preserve">. US Department of Justice, O </w:t>
      </w:r>
      <w:proofErr w:type="spellStart"/>
      <w:proofErr w:type="gramStart"/>
      <w:r>
        <w:rPr>
          <w:rFonts w:ascii="MinionPro" w:hAnsi="MinionPro"/>
          <w:sz w:val="18"/>
          <w:szCs w:val="18"/>
        </w:rPr>
        <w:t>ce</w:t>
      </w:r>
      <w:proofErr w:type="spellEnd"/>
      <w:proofErr w:type="gramEnd"/>
      <w:r>
        <w:rPr>
          <w:rFonts w:ascii="MinionPro" w:hAnsi="MinionPro"/>
          <w:sz w:val="18"/>
          <w:szCs w:val="18"/>
        </w:rPr>
        <w:t xml:space="preserve"> of Justice Programs. Retrieved February 23, 2015, from http://www.ovc.gov/publications/infores/pd </w:t>
      </w:r>
      <w:proofErr w:type="spellStart"/>
      <w:r>
        <w:rPr>
          <w:rFonts w:ascii="MinionPro" w:hAnsi="MinionPro"/>
          <w:sz w:val="18"/>
          <w:szCs w:val="18"/>
        </w:rPr>
        <w:t>xt</w:t>
      </w:r>
      <w:proofErr w:type="spellEnd"/>
      <w:r>
        <w:rPr>
          <w:rFonts w:ascii="MinionPro" w:hAnsi="MinionPro"/>
          <w:sz w:val="18"/>
          <w:szCs w:val="18"/>
        </w:rPr>
        <w:t xml:space="preserve">/ </w:t>
      </w:r>
      <w:proofErr w:type="gramStart"/>
      <w:r>
        <w:rPr>
          <w:rFonts w:ascii="MinionPro" w:hAnsi="MinionPro"/>
          <w:sz w:val="18"/>
          <w:szCs w:val="18"/>
        </w:rPr>
        <w:t>In</w:t>
      </w:r>
      <w:proofErr w:type="gramEnd"/>
      <w:r>
        <w:rPr>
          <w:rFonts w:ascii="MinionPro" w:hAnsi="MinionPro"/>
          <w:sz w:val="18"/>
          <w:szCs w:val="18"/>
        </w:rPr>
        <w:t xml:space="preserve"> eirOwnWords.pdf </w:t>
      </w:r>
    </w:p>
    <w:p w14:paraId="2C39E076" w14:textId="77777777" w:rsidR="00164830" w:rsidRDefault="00164830" w:rsidP="00164830">
      <w:pPr>
        <w:pStyle w:val="NormalWeb"/>
      </w:pPr>
      <w:r>
        <w:rPr>
          <w:rFonts w:ascii="MinionPro" w:hAnsi="MinionPro"/>
          <w:sz w:val="18"/>
          <w:szCs w:val="18"/>
        </w:rPr>
        <w:t xml:space="preserve">Roberto, K. A., &amp; </w:t>
      </w:r>
      <w:proofErr w:type="spellStart"/>
      <w:r>
        <w:rPr>
          <w:rFonts w:ascii="MinionPro" w:hAnsi="MinionPro"/>
          <w:sz w:val="18"/>
          <w:szCs w:val="18"/>
        </w:rPr>
        <w:t>Teaster</w:t>
      </w:r>
      <w:proofErr w:type="spellEnd"/>
      <w:r>
        <w:rPr>
          <w:rFonts w:ascii="MinionPro" w:hAnsi="MinionPro"/>
          <w:sz w:val="18"/>
          <w:szCs w:val="18"/>
        </w:rPr>
        <w:t xml:space="preserve">, P. B. (2005). Sexual abuse of vulnerable and old women: A comparative analysis of circumstances and outcomes. </w:t>
      </w:r>
      <w:proofErr w:type="gramStart"/>
      <w:r>
        <w:rPr>
          <w:rFonts w:ascii="MinionPro" w:hAnsi="MinionPro"/>
          <w:i/>
          <w:iCs/>
          <w:sz w:val="18"/>
          <w:szCs w:val="18"/>
        </w:rPr>
        <w:t xml:space="preserve">Violence Against Women, 11, </w:t>
      </w:r>
      <w:r>
        <w:rPr>
          <w:rFonts w:ascii="MinionPro" w:hAnsi="MinionPro"/>
          <w:sz w:val="18"/>
          <w:szCs w:val="18"/>
        </w:rPr>
        <w:t>473–504.</w:t>
      </w:r>
      <w:proofErr w:type="gramEnd"/>
      <w:r>
        <w:rPr>
          <w:rFonts w:ascii="MinionPro" w:hAnsi="MinionPro"/>
          <w:sz w:val="18"/>
          <w:szCs w:val="18"/>
        </w:rPr>
        <w:t xml:space="preserve">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10.1177/ 1077801204274329 </w:t>
      </w:r>
    </w:p>
    <w:p w14:paraId="0DB6C22B" w14:textId="153C503E" w:rsidR="00164830" w:rsidRDefault="00164830" w:rsidP="00164830">
      <w:pPr>
        <w:pStyle w:val="NormalWeb"/>
      </w:pPr>
      <w:r>
        <w:rPr>
          <w:rFonts w:ascii="MinionPro" w:hAnsi="MinionPro"/>
          <w:sz w:val="18"/>
          <w:szCs w:val="18"/>
        </w:rPr>
        <w:t xml:space="preserve">Saltzman, L. E., </w:t>
      </w:r>
      <w:proofErr w:type="spellStart"/>
      <w:r>
        <w:rPr>
          <w:rFonts w:ascii="MinionPro" w:hAnsi="MinionPro"/>
          <w:sz w:val="18"/>
          <w:szCs w:val="18"/>
        </w:rPr>
        <w:t>Fanslow</w:t>
      </w:r>
      <w:proofErr w:type="spellEnd"/>
      <w:r>
        <w:rPr>
          <w:rFonts w:ascii="MinionPro" w:hAnsi="MinionPro"/>
          <w:sz w:val="18"/>
          <w:szCs w:val="18"/>
        </w:rPr>
        <w:t xml:space="preserve">, J. L., McMahon, P. M., &amp; Shelley, G. A. (2002). </w:t>
      </w:r>
      <w:r>
        <w:rPr>
          <w:rFonts w:ascii="MinionPro" w:hAnsi="MinionPro"/>
          <w:i/>
          <w:iCs/>
          <w:sz w:val="18"/>
          <w:szCs w:val="18"/>
        </w:rPr>
        <w:t xml:space="preserve">Intimate partner violence </w:t>
      </w:r>
      <w:bookmarkStart w:id="0" w:name="_GoBack"/>
      <w:bookmarkEnd w:id="0"/>
      <w:r>
        <w:rPr>
          <w:rFonts w:ascii="MinionPro" w:hAnsi="MinionPro"/>
          <w:i/>
          <w:iCs/>
          <w:sz w:val="18"/>
          <w:szCs w:val="18"/>
        </w:rPr>
        <w:t xml:space="preserve">surveillance: Uniform de </w:t>
      </w:r>
      <w:proofErr w:type="spellStart"/>
      <w:r>
        <w:rPr>
          <w:rFonts w:ascii="MinionPro" w:hAnsi="MinionPro"/>
          <w:i/>
          <w:iCs/>
          <w:sz w:val="18"/>
          <w:szCs w:val="18"/>
        </w:rPr>
        <w:t>nitions</w:t>
      </w:r>
      <w:proofErr w:type="spellEnd"/>
      <w:r>
        <w:rPr>
          <w:rFonts w:ascii="MinionPro" w:hAnsi="MinionPro"/>
          <w:i/>
          <w:iCs/>
          <w:sz w:val="18"/>
          <w:szCs w:val="18"/>
        </w:rPr>
        <w:t xml:space="preserve"> and recommended data elements, version 1.0</w:t>
      </w:r>
      <w:r>
        <w:rPr>
          <w:rFonts w:ascii="MinionPro" w:hAnsi="MinionPro"/>
          <w:sz w:val="18"/>
          <w:szCs w:val="18"/>
        </w:rPr>
        <w:t xml:space="preserve">. Atlanta, GA: Centers for Disease Control and Prevention, National Center for Injury Prevention and Control. </w:t>
      </w:r>
    </w:p>
    <w:p w14:paraId="3743986E" w14:textId="77777777" w:rsidR="00164830" w:rsidRDefault="00164830" w:rsidP="00164830">
      <w:pPr>
        <w:pStyle w:val="NormalWeb"/>
      </w:pPr>
      <w:r>
        <w:rPr>
          <w:rFonts w:ascii="MinionPro" w:hAnsi="MinionPro"/>
          <w:sz w:val="18"/>
          <w:szCs w:val="18"/>
        </w:rPr>
        <w:t xml:space="preserve">Scott, M. (2008). </w:t>
      </w:r>
      <w:r>
        <w:rPr>
          <w:rFonts w:ascii="MinionPro" w:hAnsi="MinionPro"/>
          <w:i/>
          <w:iCs/>
          <w:sz w:val="18"/>
          <w:szCs w:val="18"/>
        </w:rPr>
        <w:t>Older women and domestic abuse in Scotland: Update 2008</w:t>
      </w:r>
      <w:r>
        <w:rPr>
          <w:rFonts w:ascii="MinionPro" w:hAnsi="MinionPro"/>
          <w:sz w:val="18"/>
          <w:szCs w:val="18"/>
        </w:rPr>
        <w:t xml:space="preserve">. Centre for Research on Families and Relationships. Retrieved February 23, 2015, from http://hdl.handle.net/1842/2771 </w:t>
      </w:r>
    </w:p>
    <w:p w14:paraId="373B7F44" w14:textId="77777777" w:rsidR="00164830" w:rsidRDefault="00164830" w:rsidP="00164830">
      <w:pPr>
        <w:pStyle w:val="NormalWeb"/>
      </w:pPr>
      <w:proofErr w:type="spellStart"/>
      <w:r>
        <w:rPr>
          <w:rFonts w:ascii="MinionPro" w:hAnsi="MinionPro"/>
          <w:sz w:val="18"/>
          <w:szCs w:val="18"/>
        </w:rPr>
        <w:t>Straka</w:t>
      </w:r>
      <w:proofErr w:type="spellEnd"/>
      <w:r>
        <w:rPr>
          <w:rFonts w:ascii="MinionPro" w:hAnsi="MinionPro"/>
          <w:sz w:val="18"/>
          <w:szCs w:val="18"/>
        </w:rPr>
        <w:t xml:space="preserve">, S. M., &amp; </w:t>
      </w:r>
      <w:proofErr w:type="spellStart"/>
      <w:r>
        <w:rPr>
          <w:rFonts w:ascii="MinionPro" w:hAnsi="MinionPro"/>
          <w:sz w:val="18"/>
          <w:szCs w:val="18"/>
        </w:rPr>
        <w:t>Montminy</w:t>
      </w:r>
      <w:proofErr w:type="spellEnd"/>
      <w:r>
        <w:rPr>
          <w:rFonts w:ascii="MinionPro" w:hAnsi="MinionPro"/>
          <w:sz w:val="18"/>
          <w:szCs w:val="18"/>
        </w:rPr>
        <w:t xml:space="preserve">, L. (2006). Responding to the needs of older women experiencing domestic violence. </w:t>
      </w:r>
      <w:r>
        <w:rPr>
          <w:rFonts w:ascii="MinionPro" w:hAnsi="MinionPro"/>
          <w:i/>
          <w:iCs/>
          <w:sz w:val="18"/>
          <w:szCs w:val="18"/>
        </w:rPr>
        <w:t>Violence Against Women, 12</w:t>
      </w:r>
      <w:r>
        <w:rPr>
          <w:rFonts w:ascii="MinionPro" w:hAnsi="MinionPro"/>
          <w:sz w:val="18"/>
          <w:szCs w:val="18"/>
        </w:rPr>
        <w:t xml:space="preserve">(3), 251–267.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10.1177/1077801206286221 </w:t>
      </w:r>
    </w:p>
    <w:p w14:paraId="008E1C3D" w14:textId="77777777" w:rsidR="00164830" w:rsidRDefault="00164830" w:rsidP="00164830">
      <w:pPr>
        <w:pStyle w:val="NormalWeb"/>
      </w:pPr>
      <w:r>
        <w:rPr>
          <w:rFonts w:ascii="MinionPro" w:hAnsi="MinionPro"/>
          <w:sz w:val="18"/>
          <w:szCs w:val="18"/>
        </w:rPr>
        <w:t xml:space="preserve">Vinton, L. (2003). A model collaborative project toward making domestic violence shelters elder ready. </w:t>
      </w:r>
      <w:r>
        <w:rPr>
          <w:rFonts w:ascii="MinionPro" w:hAnsi="MinionPro"/>
          <w:i/>
          <w:iCs/>
          <w:sz w:val="18"/>
          <w:szCs w:val="18"/>
        </w:rPr>
        <w:t xml:space="preserve">Violence Against Women, 9, </w:t>
      </w:r>
      <w:r>
        <w:rPr>
          <w:rFonts w:ascii="MinionPro" w:hAnsi="MinionPro"/>
          <w:sz w:val="18"/>
          <w:szCs w:val="18"/>
        </w:rPr>
        <w:t xml:space="preserve">1504–1513. </w:t>
      </w:r>
      <w:proofErr w:type="spellStart"/>
      <w:proofErr w:type="gramStart"/>
      <w:r>
        <w:rPr>
          <w:rFonts w:ascii="MinionPro" w:hAnsi="MinionPro"/>
          <w:sz w:val="18"/>
          <w:szCs w:val="18"/>
        </w:rPr>
        <w:t>doi</w:t>
      </w:r>
      <w:proofErr w:type="spellEnd"/>
      <w:proofErr w:type="gramEnd"/>
      <w:r>
        <w:rPr>
          <w:rFonts w:ascii="MinionPro" w:hAnsi="MinionPro"/>
          <w:sz w:val="18"/>
          <w:szCs w:val="18"/>
        </w:rPr>
        <w:t xml:space="preserve">: 10.1177/1077801203259289 </w:t>
      </w:r>
    </w:p>
    <w:p w14:paraId="66DDFD0A" w14:textId="77777777" w:rsidR="005D7AE3" w:rsidRDefault="005D7AE3"/>
    <w:sectPr w:rsidR="005D7AE3" w:rsidSect="005D7AE3">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inionPro">
    <w:altName w:val="Times New Roman"/>
    <w:panose1 w:val="00000000000000000000"/>
    <w:charset w:val="00"/>
    <w:family w:val="roman"/>
    <w:notTrueType/>
    <w:pitch w:val="default"/>
  </w:font>
  <w:font w:name="STIXMath">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30"/>
    <w:rsid w:val="000B4081"/>
    <w:rsid w:val="00164830"/>
    <w:rsid w:val="003A4E18"/>
    <w:rsid w:val="0058772D"/>
    <w:rsid w:val="005B11E3"/>
    <w:rsid w:val="005D7AE3"/>
    <w:rsid w:val="007D6F99"/>
    <w:rsid w:val="00A05981"/>
    <w:rsid w:val="00D06B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830"/>
    <w:pPr>
      <w:spacing w:before="100" w:beforeAutospacing="1" w:after="100" w:afterAutospacing="1"/>
    </w:pPr>
    <w:rPr>
      <w:rFonts w:ascii="Times" w:hAnsi="Times" w:cs="Times New Roman"/>
      <w:sz w:val="20"/>
      <w:szCs w:val="20"/>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830"/>
    <w:pPr>
      <w:spacing w:before="100" w:beforeAutospacing="1" w:after="100" w:afterAutospacing="1"/>
    </w:pPr>
    <w:rPr>
      <w:rFonts w:ascii="Times" w:hAnsi="Times" w:cs="Times New Roman"/>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969388">
      <w:bodyDiv w:val="1"/>
      <w:marLeft w:val="0"/>
      <w:marRight w:val="0"/>
      <w:marTop w:val="0"/>
      <w:marBottom w:val="0"/>
      <w:divBdr>
        <w:top w:val="none" w:sz="0" w:space="0" w:color="auto"/>
        <w:left w:val="none" w:sz="0" w:space="0" w:color="auto"/>
        <w:bottom w:val="none" w:sz="0" w:space="0" w:color="auto"/>
        <w:right w:val="none" w:sz="0" w:space="0" w:color="auto"/>
      </w:divBdr>
      <w:divsChild>
        <w:div w:id="2017615773">
          <w:marLeft w:val="0"/>
          <w:marRight w:val="0"/>
          <w:marTop w:val="0"/>
          <w:marBottom w:val="0"/>
          <w:divBdr>
            <w:top w:val="none" w:sz="0" w:space="0" w:color="auto"/>
            <w:left w:val="none" w:sz="0" w:space="0" w:color="auto"/>
            <w:bottom w:val="none" w:sz="0" w:space="0" w:color="auto"/>
            <w:right w:val="none" w:sz="0" w:space="0" w:color="auto"/>
          </w:divBdr>
          <w:divsChild>
            <w:div w:id="1882594733">
              <w:marLeft w:val="0"/>
              <w:marRight w:val="0"/>
              <w:marTop w:val="0"/>
              <w:marBottom w:val="0"/>
              <w:divBdr>
                <w:top w:val="none" w:sz="0" w:space="0" w:color="auto"/>
                <w:left w:val="none" w:sz="0" w:space="0" w:color="auto"/>
                <w:bottom w:val="none" w:sz="0" w:space="0" w:color="auto"/>
                <w:right w:val="none" w:sz="0" w:space="0" w:color="auto"/>
              </w:divBdr>
              <w:divsChild>
                <w:div w:id="427386927">
                  <w:marLeft w:val="0"/>
                  <w:marRight w:val="0"/>
                  <w:marTop w:val="0"/>
                  <w:marBottom w:val="0"/>
                  <w:divBdr>
                    <w:top w:val="none" w:sz="0" w:space="0" w:color="auto"/>
                    <w:left w:val="none" w:sz="0" w:space="0" w:color="auto"/>
                    <w:bottom w:val="none" w:sz="0" w:space="0" w:color="auto"/>
                    <w:right w:val="none" w:sz="0" w:space="0" w:color="auto"/>
                  </w:divBdr>
                </w:div>
                <w:div w:id="216741911">
                  <w:marLeft w:val="0"/>
                  <w:marRight w:val="0"/>
                  <w:marTop w:val="0"/>
                  <w:marBottom w:val="0"/>
                  <w:divBdr>
                    <w:top w:val="none" w:sz="0" w:space="0" w:color="auto"/>
                    <w:left w:val="none" w:sz="0" w:space="0" w:color="auto"/>
                    <w:bottom w:val="none" w:sz="0" w:space="0" w:color="auto"/>
                    <w:right w:val="none" w:sz="0" w:space="0" w:color="auto"/>
                  </w:divBdr>
                </w:div>
              </w:divsChild>
            </w:div>
            <w:div w:id="1531188225">
              <w:marLeft w:val="0"/>
              <w:marRight w:val="0"/>
              <w:marTop w:val="0"/>
              <w:marBottom w:val="0"/>
              <w:divBdr>
                <w:top w:val="none" w:sz="0" w:space="0" w:color="auto"/>
                <w:left w:val="none" w:sz="0" w:space="0" w:color="auto"/>
                <w:bottom w:val="none" w:sz="0" w:space="0" w:color="auto"/>
                <w:right w:val="none" w:sz="0" w:space="0" w:color="auto"/>
              </w:divBdr>
              <w:divsChild>
                <w:div w:id="1097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6684">
          <w:marLeft w:val="0"/>
          <w:marRight w:val="0"/>
          <w:marTop w:val="0"/>
          <w:marBottom w:val="0"/>
          <w:divBdr>
            <w:top w:val="none" w:sz="0" w:space="0" w:color="auto"/>
            <w:left w:val="none" w:sz="0" w:space="0" w:color="auto"/>
            <w:bottom w:val="none" w:sz="0" w:space="0" w:color="auto"/>
            <w:right w:val="none" w:sz="0" w:space="0" w:color="auto"/>
          </w:divBdr>
          <w:divsChild>
            <w:div w:id="1002661889">
              <w:marLeft w:val="0"/>
              <w:marRight w:val="0"/>
              <w:marTop w:val="0"/>
              <w:marBottom w:val="0"/>
              <w:divBdr>
                <w:top w:val="none" w:sz="0" w:space="0" w:color="auto"/>
                <w:left w:val="none" w:sz="0" w:space="0" w:color="auto"/>
                <w:bottom w:val="none" w:sz="0" w:space="0" w:color="auto"/>
                <w:right w:val="none" w:sz="0" w:space="0" w:color="auto"/>
              </w:divBdr>
              <w:divsChild>
                <w:div w:id="943536884">
                  <w:marLeft w:val="0"/>
                  <w:marRight w:val="0"/>
                  <w:marTop w:val="0"/>
                  <w:marBottom w:val="0"/>
                  <w:divBdr>
                    <w:top w:val="none" w:sz="0" w:space="0" w:color="auto"/>
                    <w:left w:val="none" w:sz="0" w:space="0" w:color="auto"/>
                    <w:bottom w:val="none" w:sz="0" w:space="0" w:color="auto"/>
                    <w:right w:val="none" w:sz="0" w:space="0" w:color="auto"/>
                  </w:divBdr>
                </w:div>
              </w:divsChild>
            </w:div>
            <w:div w:id="239994163">
              <w:marLeft w:val="0"/>
              <w:marRight w:val="0"/>
              <w:marTop w:val="0"/>
              <w:marBottom w:val="0"/>
              <w:divBdr>
                <w:top w:val="none" w:sz="0" w:space="0" w:color="auto"/>
                <w:left w:val="none" w:sz="0" w:space="0" w:color="auto"/>
                <w:bottom w:val="none" w:sz="0" w:space="0" w:color="auto"/>
                <w:right w:val="none" w:sz="0" w:space="0" w:color="auto"/>
              </w:divBdr>
              <w:divsChild>
                <w:div w:id="51655891">
                  <w:marLeft w:val="0"/>
                  <w:marRight w:val="0"/>
                  <w:marTop w:val="0"/>
                  <w:marBottom w:val="0"/>
                  <w:divBdr>
                    <w:top w:val="none" w:sz="0" w:space="0" w:color="auto"/>
                    <w:left w:val="none" w:sz="0" w:space="0" w:color="auto"/>
                    <w:bottom w:val="none" w:sz="0" w:space="0" w:color="auto"/>
                    <w:right w:val="none" w:sz="0" w:space="0" w:color="auto"/>
                  </w:divBdr>
                </w:div>
                <w:div w:id="5108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7889">
          <w:marLeft w:val="0"/>
          <w:marRight w:val="0"/>
          <w:marTop w:val="0"/>
          <w:marBottom w:val="0"/>
          <w:divBdr>
            <w:top w:val="none" w:sz="0" w:space="0" w:color="auto"/>
            <w:left w:val="none" w:sz="0" w:space="0" w:color="auto"/>
            <w:bottom w:val="none" w:sz="0" w:space="0" w:color="auto"/>
            <w:right w:val="none" w:sz="0" w:space="0" w:color="auto"/>
          </w:divBdr>
          <w:divsChild>
            <w:div w:id="1951544039">
              <w:marLeft w:val="0"/>
              <w:marRight w:val="0"/>
              <w:marTop w:val="0"/>
              <w:marBottom w:val="0"/>
              <w:divBdr>
                <w:top w:val="none" w:sz="0" w:space="0" w:color="auto"/>
                <w:left w:val="none" w:sz="0" w:space="0" w:color="auto"/>
                <w:bottom w:val="none" w:sz="0" w:space="0" w:color="auto"/>
                <w:right w:val="none" w:sz="0" w:space="0" w:color="auto"/>
              </w:divBdr>
              <w:divsChild>
                <w:div w:id="1033269358">
                  <w:marLeft w:val="0"/>
                  <w:marRight w:val="0"/>
                  <w:marTop w:val="0"/>
                  <w:marBottom w:val="0"/>
                  <w:divBdr>
                    <w:top w:val="none" w:sz="0" w:space="0" w:color="auto"/>
                    <w:left w:val="none" w:sz="0" w:space="0" w:color="auto"/>
                    <w:bottom w:val="none" w:sz="0" w:space="0" w:color="auto"/>
                    <w:right w:val="none" w:sz="0" w:space="0" w:color="auto"/>
                  </w:divBdr>
                </w:div>
                <w:div w:id="1146624201">
                  <w:marLeft w:val="0"/>
                  <w:marRight w:val="0"/>
                  <w:marTop w:val="0"/>
                  <w:marBottom w:val="0"/>
                  <w:divBdr>
                    <w:top w:val="none" w:sz="0" w:space="0" w:color="auto"/>
                    <w:left w:val="none" w:sz="0" w:space="0" w:color="auto"/>
                    <w:bottom w:val="none" w:sz="0" w:space="0" w:color="auto"/>
                    <w:right w:val="none" w:sz="0" w:space="0" w:color="auto"/>
                  </w:divBdr>
                </w:div>
              </w:divsChild>
            </w:div>
            <w:div w:id="1326395638">
              <w:marLeft w:val="0"/>
              <w:marRight w:val="0"/>
              <w:marTop w:val="0"/>
              <w:marBottom w:val="0"/>
              <w:divBdr>
                <w:top w:val="none" w:sz="0" w:space="0" w:color="auto"/>
                <w:left w:val="none" w:sz="0" w:space="0" w:color="auto"/>
                <w:bottom w:val="none" w:sz="0" w:space="0" w:color="auto"/>
                <w:right w:val="none" w:sz="0" w:space="0" w:color="auto"/>
              </w:divBdr>
              <w:divsChild>
                <w:div w:id="12885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07474">
          <w:marLeft w:val="0"/>
          <w:marRight w:val="0"/>
          <w:marTop w:val="0"/>
          <w:marBottom w:val="0"/>
          <w:divBdr>
            <w:top w:val="none" w:sz="0" w:space="0" w:color="auto"/>
            <w:left w:val="none" w:sz="0" w:space="0" w:color="auto"/>
            <w:bottom w:val="none" w:sz="0" w:space="0" w:color="auto"/>
            <w:right w:val="none" w:sz="0" w:space="0" w:color="auto"/>
          </w:divBdr>
          <w:divsChild>
            <w:div w:id="1097679018">
              <w:marLeft w:val="0"/>
              <w:marRight w:val="0"/>
              <w:marTop w:val="0"/>
              <w:marBottom w:val="0"/>
              <w:divBdr>
                <w:top w:val="none" w:sz="0" w:space="0" w:color="auto"/>
                <w:left w:val="none" w:sz="0" w:space="0" w:color="auto"/>
                <w:bottom w:val="none" w:sz="0" w:space="0" w:color="auto"/>
                <w:right w:val="none" w:sz="0" w:space="0" w:color="auto"/>
              </w:divBdr>
              <w:divsChild>
                <w:div w:id="1943369771">
                  <w:marLeft w:val="0"/>
                  <w:marRight w:val="0"/>
                  <w:marTop w:val="0"/>
                  <w:marBottom w:val="0"/>
                  <w:divBdr>
                    <w:top w:val="none" w:sz="0" w:space="0" w:color="auto"/>
                    <w:left w:val="none" w:sz="0" w:space="0" w:color="auto"/>
                    <w:bottom w:val="none" w:sz="0" w:space="0" w:color="auto"/>
                    <w:right w:val="none" w:sz="0" w:space="0" w:color="auto"/>
                  </w:divBdr>
                </w:div>
              </w:divsChild>
            </w:div>
            <w:div w:id="605894651">
              <w:marLeft w:val="0"/>
              <w:marRight w:val="0"/>
              <w:marTop w:val="0"/>
              <w:marBottom w:val="0"/>
              <w:divBdr>
                <w:top w:val="none" w:sz="0" w:space="0" w:color="auto"/>
                <w:left w:val="none" w:sz="0" w:space="0" w:color="auto"/>
                <w:bottom w:val="none" w:sz="0" w:space="0" w:color="auto"/>
                <w:right w:val="none" w:sz="0" w:space="0" w:color="auto"/>
              </w:divBdr>
              <w:divsChild>
                <w:div w:id="1594241155">
                  <w:marLeft w:val="0"/>
                  <w:marRight w:val="0"/>
                  <w:marTop w:val="0"/>
                  <w:marBottom w:val="0"/>
                  <w:divBdr>
                    <w:top w:val="none" w:sz="0" w:space="0" w:color="auto"/>
                    <w:left w:val="none" w:sz="0" w:space="0" w:color="auto"/>
                    <w:bottom w:val="none" w:sz="0" w:space="0" w:color="auto"/>
                    <w:right w:val="none" w:sz="0" w:space="0" w:color="auto"/>
                  </w:divBdr>
                </w:div>
                <w:div w:id="921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9273">
          <w:marLeft w:val="0"/>
          <w:marRight w:val="0"/>
          <w:marTop w:val="0"/>
          <w:marBottom w:val="0"/>
          <w:divBdr>
            <w:top w:val="none" w:sz="0" w:space="0" w:color="auto"/>
            <w:left w:val="none" w:sz="0" w:space="0" w:color="auto"/>
            <w:bottom w:val="none" w:sz="0" w:space="0" w:color="auto"/>
            <w:right w:val="none" w:sz="0" w:space="0" w:color="auto"/>
          </w:divBdr>
          <w:divsChild>
            <w:div w:id="1469662013">
              <w:marLeft w:val="0"/>
              <w:marRight w:val="0"/>
              <w:marTop w:val="0"/>
              <w:marBottom w:val="0"/>
              <w:divBdr>
                <w:top w:val="none" w:sz="0" w:space="0" w:color="auto"/>
                <w:left w:val="none" w:sz="0" w:space="0" w:color="auto"/>
                <w:bottom w:val="none" w:sz="0" w:space="0" w:color="auto"/>
                <w:right w:val="none" w:sz="0" w:space="0" w:color="auto"/>
              </w:divBdr>
              <w:divsChild>
                <w:div w:id="1545562517">
                  <w:marLeft w:val="0"/>
                  <w:marRight w:val="0"/>
                  <w:marTop w:val="0"/>
                  <w:marBottom w:val="0"/>
                  <w:divBdr>
                    <w:top w:val="none" w:sz="0" w:space="0" w:color="auto"/>
                    <w:left w:val="none" w:sz="0" w:space="0" w:color="auto"/>
                    <w:bottom w:val="none" w:sz="0" w:space="0" w:color="auto"/>
                    <w:right w:val="none" w:sz="0" w:space="0" w:color="auto"/>
                  </w:divBdr>
                </w:div>
                <w:div w:id="2873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2557</Words>
  <Characters>14579</Characters>
  <Application>Microsoft Macintosh Word</Application>
  <DocSecurity>0</DocSecurity>
  <Lines>121</Lines>
  <Paragraphs>34</Paragraphs>
  <ScaleCrop>false</ScaleCrop>
  <Company>ML Consulting</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Lui</dc:creator>
  <cp:keywords/>
  <dc:description/>
  <cp:lastModifiedBy>May Lui</cp:lastModifiedBy>
  <cp:revision>6</cp:revision>
  <dcterms:created xsi:type="dcterms:W3CDTF">2018-09-28T14:58:00Z</dcterms:created>
  <dcterms:modified xsi:type="dcterms:W3CDTF">2018-09-28T15:20:00Z</dcterms:modified>
</cp:coreProperties>
</file>